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88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39"/>
        <w:gridCol w:w="11640"/>
      </w:tblGrid>
      <w:tr>
        <w:trPr>
          <w:trHeight w:val="2788" w:hRule="atLeast"/>
        </w:trPr>
        <w:tc>
          <w:tcPr>
            <w:tcW w:w="323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63500</wp:posOffset>
                  </wp:positionV>
                  <wp:extent cx="1889125" cy="1476375"/>
                  <wp:effectExtent l="0" t="0" r="0" b="0"/>
                  <wp:wrapTopAndBottom/>
                  <wp:docPr id="1" name="Picture 107" descr="D:\Work\SU\Blanki-logo\loga-png-s imena\logo SU BG White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07" descr="D:\Work\SU\Blanki-logo\loga-png-s imena\logo SU BG White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 w:val="false"/>
              <w:jc w:val="center"/>
              <w:rPr>
                <w:rFonts w:cs="Calibri" w:cstheme="minorHAnsi"/>
                <w:sz w:val="44"/>
                <w:szCs w:val="44"/>
              </w:rPr>
            </w:pPr>
            <w:r>
              <w:rPr>
                <w:rFonts w:cs="Calibri" w:cstheme="minorHAnsi"/>
                <w:sz w:val="44"/>
                <w:szCs w:val="44"/>
              </w:rPr>
              <w:t xml:space="preserve">СОФИЙСКИ </w:t>
            </w:r>
            <w:r>
              <w:rPr>
                <w:rFonts w:cs="Calibri"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="Calibri" w:cstheme="minorHAnsi"/>
                <w:sz w:val="44"/>
                <w:szCs w:val="44"/>
              </w:rPr>
              <w:t xml:space="preserve">УНИВЕРСИТЕТ </w:t>
            </w:r>
            <w:r>
              <w:rPr>
                <w:rFonts w:cs="Calibri" w:cstheme="minorHAnsi"/>
                <w:sz w:val="44"/>
                <w:szCs w:val="44"/>
                <w:lang w:val="en-US"/>
              </w:rPr>
              <w:t xml:space="preserve"> </w:t>
            </w:r>
            <w:r>
              <w:rPr>
                <w:rFonts w:cs="Calibri" w:cstheme="minorHAnsi"/>
                <w:sz w:val="44"/>
                <w:szCs w:val="44"/>
              </w:rPr>
              <w:t>„СВ. КЛИМЕНТ ОХРИДСКИ“</w:t>
            </w:r>
          </w:p>
        </w:tc>
      </w:tr>
      <w:tr>
        <w:trPr>
          <w:trHeight w:val="436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 w:cstheme="minorHAnsi"/>
                <w:sz w:val="32"/>
                <w:szCs w:val="32"/>
              </w:rPr>
            </w:pPr>
            <w:r>
              <w:rPr>
                <w:rFonts w:cs="Calibri" w:cstheme="minorHAnsi"/>
                <w:sz w:val="32"/>
                <w:szCs w:val="32"/>
              </w:rPr>
              <w:t>Физически</w:t>
            </w:r>
            <w:r>
              <w:rPr>
                <w:rFonts w:cs="Calibri" w:cstheme="minorHAnsi"/>
                <w:sz w:val="32"/>
                <w:szCs w:val="32"/>
                <w:lang w:val="en-US"/>
              </w:rPr>
              <w:t xml:space="preserve"> </w:t>
            </w:r>
            <w:r>
              <w:rPr>
                <w:rFonts w:cs="Calibri" w:cstheme="minorHAnsi"/>
                <w:sz w:val="32"/>
                <w:szCs w:val="32"/>
              </w:rPr>
              <w:t>факултет</w:t>
            </w:r>
          </w:p>
        </w:tc>
      </w:tr>
      <w:tr>
        <w:trPr>
          <w:trHeight w:val="1156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 w:cstheme="minorHAnsi"/>
                <w:sz w:val="56"/>
                <w:szCs w:val="56"/>
              </w:rPr>
            </w:pPr>
            <w:r>
              <w:rPr>
                <w:rFonts w:cs="Calibri" w:cstheme="minorHAnsi"/>
                <w:sz w:val="56"/>
                <w:szCs w:val="56"/>
              </w:rPr>
              <w:t>А Т Е С Т А Ц И Я</w:t>
            </w:r>
          </w:p>
        </w:tc>
      </w:tr>
      <w:tr>
        <w:trPr>
          <w:trHeight w:val="175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cstheme="minorHAnsi"/>
              </w:rPr>
              <w:t>За трета година</w:t>
            </w:r>
          </w:p>
        </w:tc>
      </w:tr>
      <w:tr>
        <w:trPr>
          <w:trHeight w:val="175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 xml:space="preserve">Професионално направление: </w:t>
            </w:r>
            <w:r>
              <w:rPr>
                <w:rFonts w:cs="Calibri"/>
                <w:lang w:val="ru-RU"/>
              </w:rPr>
              <w:t>4.1 Физически науки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Докторска програма: Физика на елементарните частици и високите енергии</w:t>
            </w:r>
          </w:p>
        </w:tc>
      </w:tr>
      <w:tr>
        <w:trPr>
          <w:trHeight w:val="33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ОНС „доктор“</w:t>
            </w:r>
          </w:p>
        </w:tc>
      </w:tr>
      <w:tr>
        <w:trPr>
          <w:trHeight w:val="59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Форма на обучение: Редовна (Р)</w: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Продължителност на обучението (години): три (3)</w:t>
            </w:r>
          </w:p>
        </w:tc>
      </w:tr>
      <w:tr>
        <w:trPr>
          <w:trHeight w:val="313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</w:rPr>
              <w:t xml:space="preserve">Докторант: </w:t>
            </w:r>
            <w:r>
              <w:rPr>
                <w:rFonts w:cs="Calibri"/>
                <w:b/>
                <w:bCs/>
              </w:rPr>
              <w:t>Валентин Димитров Бучакчиев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Дата на зачисляване в докторантура: 01.07.2023 г.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>Срок за завършване на докторантурата: 01.07.202</w:t>
            </w:r>
            <w:r>
              <w:rPr>
                <w:rFonts w:cs="Calibri"/>
                <w:lang w:val="ru-RU"/>
              </w:rPr>
              <w:t>6</w:t>
            </w:r>
            <w:r>
              <w:rPr>
                <w:rFonts w:cs="Calibri"/>
              </w:rPr>
              <w:t xml:space="preserve"> г.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</w:rPr>
              <w:t xml:space="preserve">Тема на дисертацията:  </w:t>
            </w:r>
            <w:r>
              <w:rPr>
                <w:rFonts w:cs="Calibri"/>
                <w:b/>
                <w:bCs/>
              </w:rPr>
              <w:t>Study of the Effects of Ionizing Radiation in Silicon Photomultipliers (Изследване на ефектите на йонизиращите лъчения върху силициевите фотоумножители)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/>
              </w:rPr>
              <w:t xml:space="preserve">Научен ръководител (длъжност, научна степен, три имена): </w:t>
            </w:r>
            <w:r>
              <w:rPr>
                <w:rFonts w:cs="Calibri"/>
                <w:b/>
              </w:rPr>
              <w:t>доц. д-р Венелин Кожухаров, доц. д-р Борислав Павлов</w:t>
            </w:r>
          </w:p>
        </w:tc>
      </w:tr>
      <w:tr>
        <w:trPr>
          <w:trHeight w:val="358" w:hRule="atLeast"/>
        </w:trPr>
        <w:tc>
          <w:tcPr>
            <w:tcW w:w="1487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b/>
              </w:rPr>
            </w:pPr>
            <w:r>
              <w:rPr>
                <w:rFonts w:cs="Calibri"/>
              </w:rPr>
              <w:t xml:space="preserve">Катедра: </w:t>
            </w:r>
            <w:r>
              <w:rPr>
                <w:rFonts w:cs="Calibri"/>
                <w:b/>
                <w:bCs/>
              </w:rPr>
              <w:t>Атомна физика</w:t>
            </w:r>
          </w:p>
        </w:tc>
      </w:tr>
    </w:tbl>
    <w:p>
      <w:pPr>
        <w:pStyle w:val="Normal"/>
        <w:rPr>
          <w:rFonts w:cs="Calibri" w:cstheme="minorHAnsi"/>
          <w:sz w:val="44"/>
          <w:szCs w:val="44"/>
        </w:rPr>
      </w:pPr>
      <w:r>
        <w:rPr/>
      </w:r>
    </w:p>
    <w:p>
      <w:pPr>
        <w:pStyle w:val="Normal"/>
        <w:rPr>
          <w:rFonts w:cs="Calibri" w:cstheme="minorHAnsi"/>
          <w:sz w:val="44"/>
          <w:szCs w:val="44"/>
        </w:rPr>
      </w:pPr>
      <w:r>
        <w:rPr>
          <w:rFonts w:cs="Calibri" w:cstheme="minorHAnsi"/>
          <w:sz w:val="44"/>
          <w:szCs w:val="44"/>
        </w:rPr>
        <w:t>Изпълнение (редовна форма)</w:t>
      </w:r>
    </w:p>
    <w:tbl>
      <w:tblPr>
        <w:tblStyle w:val="776"/>
        <w:tblW w:w="14370" w:type="dxa"/>
        <w:jc w:val="left"/>
        <w:tblInd w:w="7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00"/>
        <w:gridCol w:w="1260"/>
        <w:gridCol w:w="1170"/>
        <w:gridCol w:w="1140"/>
      </w:tblGrid>
      <w:tr>
        <w:trPr/>
        <w:tc>
          <w:tcPr>
            <w:tcW w:w="1080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Учебна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(Минимум 60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4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Докторантски минимум по специалността (40)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Положен на 28.06.2024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40</w:t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Докторантски минимум по език (10)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en-US" w:bidi="ar-SA"/>
              </w:rPr>
              <w:t xml:space="preserve">  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Положен на 20.12.2023 г.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10</w:t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Курс по направлението на докторантурата (10, Л+С+П=60 ч.; мин. 1 курс)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Вселена и Елементарни частици, положен на 08.01.2026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 xml:space="preserve">   </w:t>
            </w:r>
            <w:r>
              <w:rPr>
                <w:rFonts w:cs="Calibri" w:cstheme="minorHAnsi"/>
                <w:kern w:val="0"/>
              </w:rPr>
              <w:t>10</w:t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Курс, формиращ специфични изследователски умения и компетенции </w:t>
            </w:r>
            <w:r>
              <w:rPr>
                <w:rFonts w:eastAsia="Times New Roman" w:cs="Times New Roman"/>
                <w:kern w:val="0"/>
                <w:lang w:val="bg-BG" w:bidi="ar-SA"/>
              </w:rPr>
              <w:t>(5, Л+0+0=30 ч.)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Курс, формиращ академични знания и компетенции </w:t>
            </w:r>
            <w:r>
              <w:rPr>
                <w:rFonts w:eastAsia="Times New Roman" w:cs="Times New Roman"/>
                <w:kern w:val="0"/>
                <w:lang w:val="bg-BG" w:bidi="ar-SA"/>
              </w:rPr>
              <w:t>(5, Л+0+0=30 ч.)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Научноизследователска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(Минимум 110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4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>
          <w:trHeight w:val="630" w:hRule="atLeast"/>
        </w:trPr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Научноизследователска и експериментална работа по дисертационния труд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(вкл. практики, мобилност, оформяне на дисертационния труд и пр.) (20/год.)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eastAsia="ar-SA" w:bidi="ar-SA"/>
              </w:rPr>
              <w:t>1. година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Разработка и поддръжка на софтуер за анализ на данните от VMM системата за набор на данни от прототипите на адронния калориметър FoCal-H за експеримента ALICE в CERN.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Анализ на данните и определяне на работоспособността на VMM системата за използване в електромагнитни калориметри. Резултатите са обобщени в публикация, която е в процес на рецензиране в списание с Q1.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Участие в тестови набори на данни с прототипите на адронния калориметър FoCal-H за експеримента ALICE в CERN.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Подготовка на Requirements Baseline документ, съдържащ основните цели и изисквания към изпълнението на задачите по проекта Study of the Effects of Ionizing Radiation in Silicon Photomultipliers (SEIR-SiPM) към ESA.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Разработка на прототипен дизайн за части от тестовата електроника по проекта SEIR-SiPM към ESA.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Подготовка на Preliminary Test Plan документ, съдържащ планираните тестове и методи по проекта SEIR-SiPM към ESA.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Подготовка на Hardware Design документ, съдържащ схеми и характеристики на оборудването, което ще се използва при тестовете по проекта SEIR-SiPM към ESA.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eastAsia="ar-SA" w:bidi="ar-SA"/>
              </w:rPr>
              <w:t>2. година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Завършване на изследването на приложимостта на VMM ASIC за калориметрични цели до окончателно публикуване на резултатите в JINST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Дизайн на модулни системи за захранване с високо напрежение и снемане на сигнали от силициеви фотоумножители за 3 различни типа SiPM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Подготовка на техническата документация по дизайн на хардуера и документацията по процедурата за валидиране и приемане на хардуерната разработка, необходими за текущия отчет на проекта SEIR-SiPM към ESA.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Обновяване на Preliminary Test Plan за изучаване на ефектите на йонизиращите лъчения върху SiPM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Планиране на тестова система за мониторинг на ефектите на облъчване на SiPM на експерименталния комплекс CHARM в ЦЕРН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Цялостен дизайн, подготовка, пускане в експлоатация на прототип на експерименталната система за мониторинг на ефектите на йонизиращи лъчения на SiPM.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Извършване на измерванията и следене на работоспособността на избраните SiPM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Предварителен анализ на набраните данни с използването на комплекса CHARM, представяне на конференция и дискутиране на предварителните резултати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eastAsia="ar-SA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eastAsia="ar-SA" w:bidi="ar-SA"/>
              </w:rPr>
              <w:t>3. година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highlight w:val="none"/>
                <w:lang w:val="bg-BG" w:eastAsia="ar-SA" w:bidi="ar-SA"/>
              </w:rPr>
            </w:pPr>
            <w:r>
              <w:rPr>
                <w:kern w:val="0"/>
              </w:rPr>
              <w:t xml:space="preserve">- Завършване на анализа на данните от предварително облъчване на 2 набора от SiPM на  </w:t>
            </w: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комплекса CHARM и публикуването им.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highlight w:val="none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Измерване на промяната на параметрите на облъчени SiPM при контролирано изменение на температурата в климатична камера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 Цялостен дизайн, подготовка, пускане в експлоатация на подобрена експериментална система за облъчване чрез йонизиращи лъчения на SiPM и за следене на промяната на параметрите им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lang w:val="bg-BG" w:eastAsia="ar-SA" w:bidi="ar-SA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Провеждане на конкретните измервания по облъчване на SiPM на комплекса CHARM в ЦЕРН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highlight w:val="none"/>
                <w:lang w:val="en-US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 xml:space="preserve">- Следене за промени в работоспособността на облъчените </w:t>
            </w:r>
            <w:r>
              <w:rPr>
                <w:rFonts w:eastAsia="Times New Roman" w:cs="Calibri" w:cstheme="minorHAnsi"/>
                <w:kern w:val="0"/>
                <w:lang w:val="en-US"/>
              </w:rPr>
              <w:t>SiPM</w:t>
            </w:r>
            <w:r>
              <w:rPr>
                <w:rFonts w:eastAsia="Times New Roman" w:cs="Calibri" w:cstheme="minorHAnsi"/>
                <w:kern w:val="0"/>
                <w:lang w:val="bg-BG"/>
              </w:rPr>
              <w:t xml:space="preserve"> в дългосрочен план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Calibri" w:cstheme="minorHAnsi"/>
                <w:highlight w:val="none"/>
                <w:lang w:val="en-US"/>
              </w:rPr>
            </w:pPr>
            <w:r>
              <w:rPr>
                <w:rFonts w:eastAsia="Times New Roman" w:cs="Calibri" w:cstheme="minorHAnsi"/>
                <w:kern w:val="0"/>
                <w:lang w:val="bg-BG" w:eastAsia="ar-SA" w:bidi="ar-SA"/>
              </w:rPr>
              <w:t>- Завършване на анализа на данните от второто изследване и крос</w:t>
            </w:r>
            <w:r>
              <w:rPr>
                <w:rFonts w:eastAsia="Times New Roman" w:cs="Calibri" w:cstheme="minorHAnsi"/>
                <w:kern w:val="0"/>
                <w:lang w:val="bg-BG"/>
              </w:rPr>
              <w:t>корелация на резултатите от двете облъчвания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20</w:t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20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>20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>
          <w:trHeight w:val="2895" w:hRule="atLeast"/>
        </w:trPr>
        <w:tc>
          <w:tcPr>
            <w:tcW w:w="10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Публикации в реномирани издания: в процедура на рецензиране/приет ръкопис (10/30)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b/>
                <w:bCs/>
                <w:u w:val="single"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bidi="ar-SA"/>
              </w:rPr>
              <w:t>Водещ принос</w:t>
            </w: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br/>
              <w:t>Reliability evaluation of the CAEN DT5202 for high-rate data acquisition</w:t>
              <w:br/>
            </w:r>
            <w:r>
              <w:rPr>
                <w:rFonts w:eastAsia="Times New Roman" w:cs="Calibri" w:cstheme="minorHAnsi"/>
                <w:i/>
                <w:iCs/>
                <w:kern w:val="0"/>
                <w:lang w:val="en-US" w:bidi="ar-SA"/>
              </w:rPr>
              <w:t>V. Buchakchiev, A. Buhl, V. Kozhuharov, I. Bearden</w:t>
            </w: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 xml:space="preserve">,  </w:t>
            </w:r>
            <w:r>
              <w:rPr>
                <w:rFonts w:eastAsia="Times New Roman" w:cs="Calibri" w:cstheme="minorHAnsi"/>
                <w:i/>
                <w:iCs/>
                <w:kern w:val="0"/>
                <w:lang w:val="en-US" w:bidi="ar-SA"/>
              </w:rPr>
              <w:t>J. Phys. Conf. Ser. 2668, no.1, 012006 (2023)</w:t>
              <w:br/>
            </w: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>(Q4)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eastAsia="Times New Roman" w:cs="Calibri" w:cstheme="minorHAnsi"/>
                <w:i/>
                <w:iCs/>
                <w:kern w:val="0"/>
                <w:lang w:val="en-US" w:bidi="ar-SA"/>
              </w:rPr>
              <w:br/>
            </w: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>Application of the VMM ASIC for SiPM-based calorimetry</w:t>
            </w: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bg-BG" w:bidi="ar-SA"/>
              </w:rPr>
              <w:br/>
            </w:r>
            <w:r>
              <w:rPr>
                <w:rFonts w:eastAsia="Times New Roman" w:cs="Calibri" w:cstheme="minorHAnsi"/>
                <w:b w:val="false"/>
                <w:bCs w:val="false"/>
                <w:i/>
                <w:iCs/>
                <w:kern w:val="0"/>
                <w:lang w:val="en-US" w:bidi="ar-SA"/>
              </w:rPr>
              <w:t>I. Bearden et al, 2024 JINST 19 P10009  (V. Buchakchiev corr. author)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>(Q2)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i/>
                <w:iCs/>
                <w:kern w:val="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b/>
                <w:bCs/>
                <w:i w:val="false"/>
                <w:iCs w:val="false"/>
                <w:kern w:val="0"/>
                <w:lang w:val="en-US"/>
              </w:rPr>
              <w:t>Study Of The Effects Of Radiation Exposure On The Parameters Of Selected Silicon Photomultipliers,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i/>
                <w:iCs/>
                <w:kern w:val="0"/>
                <w:lang w:val="en-US"/>
              </w:rPr>
              <w:t>I. Bearden, V. Buchakchiev, D. Ivanov, M. Gencheva, V. Kozhuharov, Y. Melikyan. Signals (2026) ….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b/>
                <w:bCs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b/>
                <w:bCs/>
                <w:i/>
                <w:iCs/>
                <w:kern w:val="0"/>
                <w:lang w:val="en-US"/>
              </w:rPr>
              <w:t>(Q2)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i/>
                <w:iCs/>
                <w:kern w:val="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bidi="ar-SA"/>
              </w:rPr>
              <w:t>Съществен принос</w:t>
            </w:r>
          </w:p>
          <w:p>
            <w:pPr>
              <w:pStyle w:val="BodyText"/>
              <w:widowControl w:val="false"/>
              <w:spacing w:before="0" w:after="12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t>Performance of the electromagnetic and hadronic prototype segments of the ALICE Forward Calorimeter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br/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t xml:space="preserve">M. Aehle </w:t>
            </w:r>
            <w:r>
              <w:rPr>
                <w:rStyle w:val="Emphasis"/>
                <w:rFonts w:eastAsia="Times New Roman" w:cs="Calibri" w:cstheme="minorHAnsi"/>
                <w:kern w:val="0"/>
                <w:lang w:val="en-US" w:bidi="ar-SA"/>
              </w:rPr>
              <w:t>et al</w:t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t xml:space="preserve"> 2024 </w:t>
            </w:r>
            <w:r>
              <w:rPr>
                <w:rStyle w:val="Emphasis"/>
                <w:rFonts w:eastAsia="Times New Roman" w:cs="Calibri" w:cstheme="minorHAnsi"/>
                <w:kern w:val="0"/>
                <w:lang w:val="en-US" w:bidi="ar-SA"/>
              </w:rPr>
              <w:t>JINST</w:t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kern w:val="0"/>
                <w:lang w:val="en-US" w:bidi="ar-SA"/>
              </w:rPr>
              <w:t>19</w:t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t xml:space="preserve"> P07006, </w:t>
              <w:br/>
            </w: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>(Q2/Q3)</w:t>
            </w:r>
          </w:p>
          <w:p>
            <w:pPr>
              <w:pStyle w:val="BodyText"/>
              <w:widowControl w:val="false"/>
              <w:spacing w:before="0" w:after="12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t>Characterization of the large-size NDL EQR20 silicon photomultipliers</w:t>
              <w:br/>
            </w:r>
            <w:r>
              <w:rPr>
                <w:rFonts w:eastAsia="Times New Roman" w:cs="Calibri" w:cstheme="minorHAnsi"/>
                <w:b w:val="false"/>
                <w:bCs w:val="false"/>
                <w:kern w:val="0"/>
                <w:lang w:val="en-US" w:bidi="ar-SA"/>
              </w:rPr>
              <w:t xml:space="preserve">Yu. Melikyan et al., </w:t>
            </w:r>
            <w:r>
              <w:rPr>
                <w:rFonts w:cs="Calibri" w:cstheme="minorHAnsi"/>
                <w:b w:val="false"/>
                <w:bCs w:val="false"/>
                <w:i/>
                <w:kern w:val="0"/>
                <w:lang w:val="en-US"/>
              </w:rPr>
              <w:t>Nucl.Instrum.Meth.A</w:t>
            </w:r>
            <w:r>
              <w:rPr>
                <w:rFonts w:cs="Calibri" w:cstheme="minorHAnsi"/>
                <w:b w:val="false"/>
                <w:bCs w:val="false"/>
                <w:kern w:val="0"/>
                <w:lang w:val="en-US"/>
              </w:rPr>
              <w:t xml:space="preserve"> 1078 (2025) 170604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eastAsia="Times New Roman" w:cs="Calibri" w:cstheme="minorHAnsi"/>
                <w:b/>
                <w:bCs/>
                <w:i/>
                <w:iCs/>
                <w:kern w:val="0"/>
                <w:lang w:val="en-US" w:bidi="ar-SA"/>
              </w:rPr>
              <w:t xml:space="preserve">(Q2/Q3) </w:t>
              <w:b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b/>
                <w:bCs/>
                <w:lang w:val="bg-BG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bg-BG" w:bidi="ar-SA"/>
              </w:rPr>
              <w:t>Multichannel SiPM test readout system for gamma ray measurements with monolithic inorganic CeBr33​</w:t>
            </w:r>
          </w:p>
          <w:p>
            <w:pPr>
              <w:pStyle w:val="BodyText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eastAsia="Times New Roman" w:cs="Times New Roman"/>
                <w:i/>
                <w:kern w:val="0"/>
                <w:lang w:val="bg-BG" w:bidi="ar-SA"/>
              </w:rPr>
              <w:t>V. Asova, G. Bistrev, V. Buchakchiev, V. Kozhuharov, J.Phys.Conf.Ser.</w:t>
            </w:r>
            <w:r>
              <w:rPr>
                <w:rFonts w:eastAsia="Times New Roman" w:cs="Times New Roman"/>
                <w:kern w:val="0"/>
                <w:lang w:val="bg-BG" w:bidi="ar-SA"/>
              </w:rPr>
              <w:t xml:space="preserve"> 2794 (2024) 1, 012006</w:t>
            </w:r>
          </w:p>
          <w:p>
            <w:pPr>
              <w:pStyle w:val="BodyText"/>
              <w:widowControl w:val="false"/>
              <w:spacing w:before="0" w:after="0"/>
              <w:jc w:val="left"/>
              <w:rPr>
                <w:rFonts w:eastAsia="Times New Roman" w:cs="Times New Roman"/>
                <w:b/>
                <w:bCs/>
                <w:lang w:val="bg-BG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val="bg-BG" w:bidi="ar-SA"/>
              </w:rPr>
              <w:t>(Q4)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i/>
                <w:i/>
                <w:iCs/>
                <w:lang w:val="en-US"/>
              </w:rPr>
            </w:pPr>
            <w:r>
              <w:rPr>
                <w:rFonts w:cs="Calibri" w:cstheme="minorHAnsi"/>
                <w:i/>
                <w:iCs/>
                <w:kern w:val="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u w:val="single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u w:val="single"/>
                <w:lang w:val="bg-BG" w:bidi="ar-SA"/>
              </w:rPr>
              <w:t>Други публикации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  <w:kern w:val="0"/>
                <w:u w:val="none"/>
              </w:rPr>
            </w:pPr>
            <w:r>
              <w:rPr>
                <w:rFonts w:eastAsia="Times New Roman" w:cs="Calibri" w:cstheme="minorHAnsi"/>
                <w:b w:val="false"/>
                <w:bCs w:val="false"/>
                <w:kern w:val="0"/>
                <w:u w:val="none"/>
                <w:lang w:val="bg-BG" w:bidi="ar-SA"/>
              </w:rPr>
              <w:t xml:space="preserve">             </w:t>
            </w:r>
            <w:r>
              <w:rPr>
                <w:rFonts w:eastAsia="Times New Roman" w:cs="Calibri" w:cstheme="minorHAnsi"/>
                <w:b w:val="false"/>
                <w:bCs w:val="false"/>
                <w:kern w:val="0"/>
                <w:u w:val="none"/>
                <w:lang w:val="bg-BG" w:bidi="ar-SA"/>
              </w:rPr>
              <w:t>Публикации с ALICE експеримента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u w:val="single"/>
              </w:rPr>
            </w:pPr>
            <w:r>
              <w:rPr>
                <w:b/>
                <w:bCs/>
                <w:kern w:val="0"/>
                <w:u w:val="single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Публикации в други издания: подготвен ръкопис/приет ръкопис (5/15)</w:t>
            </w:r>
            <w:r>
              <w:rPr>
                <w:rFonts w:eastAsia="Times New Roman" w:cs="Calibri" w:cstheme="minorHAnsi"/>
                <w:kern w:val="0"/>
                <w:lang w:val="en-US" w:bidi="ar-SA"/>
              </w:rPr>
              <w:br/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30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>30</w:t>
            </w:r>
          </w:p>
        </w:tc>
      </w:tr>
      <w:tr>
        <w:trPr/>
        <w:tc>
          <w:tcPr>
            <w:tcW w:w="1080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Устни доклади на научни конференции без публикация (10)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t xml:space="preserve">Study on the effects of mixed-field irradiation on SiPM performance, </w:t>
            </w:r>
            <w:r>
              <w:rPr>
                <w:rStyle w:val="Strong"/>
                <w:b/>
                <w:bCs/>
                <w:kern w:val="0"/>
              </w:rPr>
              <w:t xml:space="preserve">SPACEMON: Space Environment Monitoring Workshop 2025, Jun 11 – 13, 2025, </w:t>
            </w:r>
            <w:r>
              <w:rPr>
                <w:b/>
                <w:bCs/>
                <w:kern w:val="0"/>
              </w:rPr>
              <w:t>ESA/ESTEC, Netherlands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highlight w:val="none"/>
              </w:rPr>
            </w:pPr>
            <w:r>
              <w:rPr>
                <w:b/>
                <w:bCs/>
                <w:kern w:val="0"/>
              </w:rPr>
              <w:t>Challenges for SiPM sensors in space, National space forum (NaFSKI-VI), 27-29.10.2025, Sofia, Bulgaria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highlight w:val="none"/>
                <w:lang w:val="en-US"/>
              </w:rPr>
            </w:pPr>
            <w:r>
              <w:rPr>
                <w:b/>
                <w:bCs/>
                <w:kern w:val="0"/>
              </w:rPr>
              <w:t>Изследване на ефектите на радиация върху параметрите на избрани силициеви фотоумножители</w:t>
            </w:r>
            <w:r>
              <w:rPr>
                <w:b/>
                <w:bCs/>
                <w:kern w:val="0"/>
                <w:lang w:val="en-US"/>
              </w:rPr>
              <w:t>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bg-BG"/>
              </w:rPr>
              <w:t>Катедра “Атомна Физика” на 80 години, 16-18.04.2026, София, България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Постерни доклади на научни конференции без публикация (5)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</w:tc>
        <w:tc>
          <w:tcPr>
            <w:tcW w:w="12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0</w:t>
            </w:r>
          </w:p>
        </w:tc>
        <w:tc>
          <w:tcPr>
            <w:tcW w:w="11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>10</w:t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Доклади на докторантски семинар, научен семинар на звеното или друг научен доклад без публикация (вкл. при атестация) (2.5)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 xml:space="preserve">Приспособяване на </w:t>
            </w: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t>VMM</w:t>
            </w: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 xml:space="preserve"> </w:t>
            </w:r>
            <w:r>
              <w:rPr>
                <w:rFonts w:eastAsia="Times New Roman" w:cs="Calibri" w:cstheme="minorHAnsi"/>
                <w:b/>
                <w:bCs/>
                <w:kern w:val="0"/>
                <w:lang w:val="en-US" w:bidi="ar-SA"/>
              </w:rPr>
              <w:t xml:space="preserve">ASIC </w:t>
            </w: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>към калориметрия със силициеви фотоумножители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Атестационен семинар, 17.06.2024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b/>
                <w:bCs/>
                <w:kern w:val="0"/>
                <w:lang w:val="bg-BG" w:bidi="ar-SA"/>
              </w:rPr>
              <w:t xml:space="preserve">Изследване на ефектите от облъчване със смесена радиация върху параметрите на силициеви фотоумножители,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Атестационен семинар, 19.06.2025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2,5</w:t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 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2.5</w:t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>2,5</w:t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Участие в организиране на научни събития, събития за популяризиране науката, експертни групи; </w:t>
            </w:r>
            <w:r>
              <w:rPr>
                <w:rFonts w:eastAsia="Times New Roman" w:cs="Times New Roman"/>
                <w:kern w:val="0"/>
                <w:lang w:val="bg-BG" w:bidi="ar-SA"/>
              </w:rPr>
              <w:t xml:space="preserve">консултант и рецензент на дипломни работи; квестор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(2.5/год.)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   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Квестор, 15.06.2025 г., кандидатстудентски изпит по химия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Предварително обсъждане на дисертационния труд (20/последна год.)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/>
        <w:tc>
          <w:tcPr>
            <w:tcW w:w="1080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sz w:val="32"/>
                <w:szCs w:val="32"/>
                <w:lang w:val="bg-BG" w:bidi="ar-SA"/>
              </w:rPr>
              <w:t>Педагогическа дейност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 (Максимум 10 ECTS кредити)</w:t>
            </w:r>
          </w:p>
        </w:tc>
        <w:tc>
          <w:tcPr>
            <w:tcW w:w="1260" w:type="dxa"/>
            <w:tcBorders/>
            <w:shd w:color="auto" w:fill="FFC0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/>
                <w:lang w:val="bg-BG" w:bidi="ar-SA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1-ва год.</w:t>
            </w:r>
          </w:p>
        </w:tc>
        <w:tc>
          <w:tcPr>
            <w:tcW w:w="117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2-ра год.</w:t>
            </w:r>
          </w:p>
        </w:tc>
        <w:tc>
          <w:tcPr>
            <w:tcW w:w="1140" w:type="dxa"/>
            <w:tcBorders/>
            <w:shd w:color="auto" w:fill="FFC000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3-та год.</w:t>
            </w:r>
          </w:p>
        </w:tc>
      </w:tr>
      <w:tr>
        <w:trPr/>
        <w:tc>
          <w:tcPr>
            <w:tcW w:w="108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Подготовка и водене на семинарни занятия до 45 ч. на година без заплащане (5/год.)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</w:tc>
        <w:tc>
          <w:tcPr>
            <w:tcW w:w="114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  <w:lang w:val="en-US"/>
              </w:rPr>
            </w:pPr>
            <w:r>
              <w:rPr>
                <w:rFonts w:cs="Calibri" w:cstheme="minorHAnsi"/>
                <w:kern w:val="0"/>
                <w:lang w:val="en-US"/>
              </w:rPr>
            </w:r>
          </w:p>
        </w:tc>
      </w:tr>
      <w:tr>
        <w:trPr>
          <w:trHeight w:val="336" w:hRule="atLeast"/>
        </w:trPr>
        <w:tc>
          <w:tcPr>
            <w:tcW w:w="10800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Общо мин. 180 кр.</w:t>
            </w:r>
          </w:p>
        </w:tc>
        <w:tc>
          <w:tcPr>
            <w:tcW w:w="1260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Calibri" w:cstheme="minorHAnsi"/>
              </w:rPr>
            </w:pPr>
            <w:r>
              <w:rPr>
                <w:rFonts w:eastAsia="Times New Roman" w:cs="Times New Roman"/>
                <w:kern w:val="0"/>
                <w:lang w:val="bg-BG" w:bidi="ar-SA"/>
              </w:rPr>
              <w:t>102,5</w:t>
            </w:r>
          </w:p>
        </w:tc>
        <w:tc>
          <w:tcPr>
            <w:tcW w:w="1170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62,5</w:t>
            </w:r>
          </w:p>
        </w:tc>
        <w:tc>
          <w:tcPr>
            <w:tcW w:w="1140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  <w:t>72,5</w:t>
            </w:r>
          </w:p>
        </w:tc>
      </w:tr>
    </w:tbl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Всяка изпълнена дейност се конкретизира в първата колона на таблицата. Втората, третата и т.н. колони съдържат кредити за конкретната дейност и година.</w:t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  <w:t>При удължение на срока на докторантурата се прибавя колона за 4-тата година, в която се предвиждат кредити за неизпълнени дейности през 1-вата, 2-рата и 3-тата година за осигуряване на мин. 180 кредити.</w:t>
      </w:r>
      <w:r>
        <w:br w:type="page"/>
      </w:r>
    </w:p>
    <w:p>
      <w:pPr>
        <w:pStyle w:val="Normal"/>
        <w:spacing w:before="0" w:after="0"/>
        <w:ind w:left="36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Style w:val="776"/>
        <w:tblW w:w="1445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452"/>
      </w:tblGrid>
      <w:tr>
        <w:trPr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 xml:space="preserve">Научен ръководител: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>доц. д-р Венелин Кожухаров и доц. д-р Борислав Павлов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-мнение за работата на докторанта: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both"/>
              <w:rPr>
                <w:rFonts w:ascii="Liberation Serif" w:hAnsi="Liberation Serif"/>
              </w:rPr>
            </w:pPr>
            <w:bookmarkStart w:id="0" w:name="docs-internal-guid-7c74661b-7fff-e4a8-aa"/>
            <w:bookmarkEnd w:id="0"/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   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През третата година от докторантурата си Валентин Бучакчиев се съсредоточи върху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анализа на данните от предварителното облъчване на SiPM, проведено през април 2025 г. на установката CHARM в CERN, и обобщението на резултатите.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Бяха получени кривите на изменение на тока на тъмно като функция на погълната доза и бяха идентифицирани проблемите, съпътствали измерванията. Резултатите бяха обобщени в публикация, която беше изпратена в списание с Q2.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Във втората половина на 2025 г. докторантът също така планира и осъществи ново облъчване на SiPM с подобрен експериментален дизайн и с увеличен набор от образци на SiPM от различни производители. При това облъчване беше прецизно контролирана температурата на силициевите фотоумножители, бяха снети данни в импулсен режим на работа и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съответно отново бяха изследвани волт-амперните характеристики на SiPM с отстранено външно ограничение на тока през сензорите. Данните са в процес на обработка, но се очаква за първи път да предоставят изчерпателна информация за ефектите на йонизиращите лъчения върху работата на SiPM при облъчването им в работен режим и при регистрирането на светлинни импулси. 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both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   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Впечатление прави това, че Валентин Бучакчиев работи изключително самостоятелно, както при подготовката и изпълнението на експериментите, така и при при съставянето на отчетната документация за отделните етапи на проекта към ESA. Понастоящем към експерименталната работа има проявен интерес и от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други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студенти от ФзФ,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 xml:space="preserve">което говори за актуалността и перспективността на задачата. 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>Докторантът вече разполага с необходимите материали за оформянето на дисертацията си и предстои нейното завършване и защита, успехът на които дейности понастоящем не будят съмнение.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-предложение за оценка (положителна, отрицателна): положителна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/>
              </w:rPr>
            </w:pP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Дата: 28.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05</w:t>
            </w: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.2026</w:t>
              <w:tab/>
              <w:tab/>
              <w:tab/>
              <w:tab/>
              <w:tab/>
              <w:tab/>
              <w:t>/……………………………………./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ascii="Liberation Serif" w:hAnsi="Liberation Serif" w:cs="Calibri" w:cstheme="minorHAnsi"/>
              </w:rPr>
            </w:pPr>
            <w:r>
              <w:rPr>
                <w:rFonts w:cs="Calibri" w:cstheme="minorHAnsi" w:ascii="Liberation Serif" w:hAnsi="Liberation Serif"/>
                <w:kern w:val="0"/>
              </w:rPr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776"/>
        <w:tblW w:w="14452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452"/>
      </w:tblGrid>
      <w:tr>
        <w:trPr>
          <w:trHeight w:val="1898" w:hRule="atLeast"/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Атестацията е приета от Катедрения съвет с протокол № ....</w:t>
            </w:r>
            <w:r>
              <w:rPr>
                <w:rFonts w:eastAsia="Times New Roman" w:cs="Calibri" w:ascii="Liberation Serif" w:hAnsi="Liberation Serif" w:cstheme="minorHAnsi"/>
                <w:color w:val="000000"/>
                <w:kern w:val="0"/>
                <w:lang w:val="bg-BG" w:bidi="ar-SA"/>
              </w:rPr>
              <w:t>/ .. . .. 2026 г</w:t>
            </w:r>
            <w:r>
              <w:rPr>
                <w:rFonts w:eastAsia="Times New Roman" w:cs="Calibri" w:cstheme="minorHAnsi"/>
                <w:color w:val="000000"/>
                <w:kern w:val="0"/>
                <w:lang w:val="bg-BG" w:bidi="ar-S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-по-важни забележки към работата на докторанта:  да се съсредоточ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>и върху оформянето на дисертационния труд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>-оценка на работата на докторанта (положителна, отрицателна): положителна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  <w:tr>
        <w:trPr>
          <w:cantSplit w:val="true"/>
        </w:trPr>
        <w:tc>
          <w:tcPr>
            <w:tcW w:w="1445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Ръководител катедра: </w:t>
            </w:r>
            <w:r>
              <w:rPr>
                <w:rFonts w:eastAsia="Times New Roman" w:cs="Calibri" w:cstheme="minorHAnsi"/>
                <w:color w:val="000000"/>
                <w:kern w:val="0"/>
                <w:lang w:val="bg-BG" w:bidi="ar-SA"/>
              </w:rPr>
              <w:t>доц. д-р Мариян Богомилов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eastAsia="Times New Roman" w:cs="Calibri" w:cstheme="minorHAnsi"/>
                <w:kern w:val="0"/>
                <w:lang w:val="bg-BG" w:bidi="ar-SA"/>
              </w:rPr>
              <w:t xml:space="preserve">Дата:          .. .. </w:t>
            </w:r>
            <w:r>
              <w:rPr>
                <w:rFonts w:eastAsia="Times New Roman" w:cs="Calibri" w:ascii="Liberation Serif" w:hAnsi="Liberation Serif" w:cstheme="minorHAnsi"/>
                <w:kern w:val="0"/>
                <w:lang w:val="bg-BG" w:bidi="ar-SA"/>
              </w:rPr>
              <w:t>. 2026</w:t>
            </w:r>
            <w:r>
              <w:rPr>
                <w:rFonts w:eastAsia="Times New Roman" w:cs="Calibri" w:cstheme="minorHAnsi"/>
                <w:kern w:val="0"/>
                <w:lang w:val="bg-BG" w:bidi="ar-SA"/>
              </w:rPr>
              <w:tab/>
              <w:tab/>
              <w:tab/>
              <w:tab/>
              <w:tab/>
              <w:tab/>
              <w:tab/>
              <w:t>/…………………………………../</w:t>
            </w:r>
          </w:p>
          <w:p>
            <w:pPr>
              <w:pStyle w:val="Normal"/>
              <w:widowControl w:val="false"/>
              <w:spacing w:before="0" w:after="0"/>
              <w:ind w:left="36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  <w:kern w:val="0"/>
              </w:rPr>
            </w:r>
          </w:p>
        </w:tc>
      </w:tr>
    </w:tbl>
    <w:p>
      <w:pPr>
        <w:pStyle w:val="Normal"/>
        <w:ind w:left="3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1008" w:right="1008" w:gutter="0" w:header="708" w:top="1008" w:footer="706" w:bottom="100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ab/>
      <w:tab/>
      <w:t xml:space="preserve">                                                                                                                                        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от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32"/>
        <w:szCs w:val="32"/>
      </w:rPr>
    </w:pPr>
    <w:r>
      <w:rPr>
        <w:sz w:val="32"/>
        <w:szCs w:val="32"/>
      </w:rPr>
      <w:t>АТЕСТАЦИЯ НА ДОКТОРАНТ (</w:t>
    </w:r>
    <w:r>
      <w:rPr>
        <w:rFonts w:cs="Calibri" w:cstheme="minorHAnsi"/>
        <w:b/>
      </w:rPr>
      <w:t>Валентин Димитров Бучакчиев</w:t>
    </w:r>
    <w:r>
      <w:rPr>
        <w:sz w:val="32"/>
        <w:szCs w:val="32"/>
      </w:rPr>
      <w:t>)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lang w:val="bg-BG" w:eastAsia="bg-BG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4"/>
      <w:lang w:val="bg-BG" w:eastAsia="ar-SA" w:bidi="ar-SA"/>
    </w:rPr>
  </w:style>
  <w:style w:type="paragraph" w:styleId="Heading1">
    <w:name w:val="Heading 1"/>
    <w:basedOn w:val="Style7"/>
    <w:next w:val="BodyText"/>
    <w:qFormat/>
    <w:pPr>
      <w:outlineLvl w:val="0"/>
    </w:pPr>
    <w:rPr>
      <w:rFonts w:ascii="Liberation Serif" w:hAnsi="Liberation Serif" w:eastAsia="Cantarell" w:cs="Noto Naskh Arabic"/>
      <w:b/>
      <w:bCs/>
      <w:sz w:val="48"/>
      <w:szCs w:val="48"/>
    </w:rPr>
  </w:style>
  <w:style w:type="paragraph" w:styleId="Heading2">
    <w:name w:val="Heading 2"/>
    <w:basedOn w:val="Style7"/>
    <w:next w:val="BodyText"/>
    <w:qFormat/>
    <w:pPr>
      <w:spacing w:before="200" w:after="120"/>
      <w:outlineLvl w:val="1"/>
    </w:pPr>
    <w:rPr>
      <w:rFonts w:ascii="Liberation Serif" w:hAnsi="Liberation Serif" w:eastAsia="Cantarell" w:cs="Noto Naskh Arabi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Pr>
      <w:sz w:val="2"/>
      <w:szCs w:val="2"/>
      <w:lang w:val="bg-BG"/>
    </w:rPr>
  </w:style>
  <w:style w:type="character" w:styleId="HeaderChar" w:customStyle="1">
    <w:name w:val="Header Char"/>
    <w:basedOn w:val="DefaultParagraphFont"/>
    <w:uiPriority w:val="99"/>
    <w:qFormat/>
    <w:rPr>
      <w:sz w:val="24"/>
      <w:szCs w:val="24"/>
      <w:lang w:val="bg-BG"/>
    </w:rPr>
  </w:style>
  <w:style w:type="character" w:styleId="FooterChar" w:customStyle="1">
    <w:name w:val="Footer Char"/>
    <w:basedOn w:val="DefaultParagraphFont"/>
    <w:qFormat/>
    <w:rPr>
      <w:sz w:val="24"/>
      <w:szCs w:val="24"/>
      <w:lang w:val="bg-BG"/>
    </w:rPr>
  </w:style>
  <w:style w:type="character" w:styleId="PageNumber">
    <w:name w:val="Page Number"/>
    <w:basedOn w:val="DefaultParagraphFont"/>
    <w:qFormat/>
    <w:rPr/>
  </w:style>
  <w:style w:type="character" w:styleId="Hyperlink" w:customStyle="1">
    <w:name w:val="Hyperlink"/>
    <w:qFormat/>
    <w:rPr>
      <w:color w:val="000080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yle5" w:customStyle="1">
    <w:name w:val="Символи за номериране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6">
    <w:name w:val="Водещи знаци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0"/>
      <w:szCs w:val="20"/>
      <w:lang w:val="bg-BG" w:eastAsia="bg-BG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yle7" w:customStyle="1">
    <w:name w:val="Заглавие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Style8" w:customStyle="1">
    <w:name w:val="Указател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9" w:customStyle="1">
    <w:name w:val="Колонтитули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-" w:customStyle="1">
    <w:name w:val="Таблица - съдържание"/>
    <w:basedOn w:val="Normal"/>
    <w:qFormat/>
    <w:pPr>
      <w:widowControl w:val="false"/>
      <w:suppressLineNumbers/>
    </w:pPr>
    <w:rPr/>
  </w:style>
  <w:style w:type="paragraph" w:styleId="-1" w:customStyle="1">
    <w:name w:val="Таблица - заглавие"/>
    <w:basedOn w:val="-"/>
    <w:qFormat/>
    <w:pPr>
      <w:jc w:val="center"/>
    </w:pPr>
    <w:rPr>
      <w:b/>
      <w:bCs/>
    </w:rPr>
  </w:style>
  <w:style w:type="paragraph" w:styleId="FrameContents" w:customStyle="1">
    <w:name w:val="Frame Contents"/>
    <w:basedOn w:val="BodyText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0" w:customStyle="1">
    <w:name w:val="Без списък"/>
    <w:uiPriority w:val="99"/>
    <w:semiHidden/>
    <w:unhideWhenUsed/>
    <w:qFormat/>
  </w:style>
  <w:style w:type="table" w:styleId="13">
    <w:name w:val="Table Grid Light"/>
    <w:basedOn w:val="7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77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7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pPr/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7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4D1EC" w:themeFill="accent1" w:themeFillTint="75"/>
      </w:tcPr>
    </w:tblStylePr>
    <w:tblStylePr w:type="band1Vert">
      <w:pPr/>
      <w:tblPr/>
      <w:tcPr>
        <w:shd w:val="clear" w:color="FFFFFF" w:fill="B4D1EC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5B9BD5" w:themeFill="accent1"/>
      </w:tcPr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  <w:sz w:val="22"/>
      </w:rPr>
      <w:tblPr/>
      <w:tcPr>
        <w:shd w:val="clear" w:color="FFFFFF" w:fill="5B9BD5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7C3A0" w:themeFill="accent2" w:themeFillTint="75"/>
      </w:tcPr>
    </w:tblStylePr>
    <w:tblStylePr w:type="band1Vert">
      <w:pPr/>
      <w:tblPr/>
      <w:tcPr>
        <w:shd w:val="clear" w:color="FFFFFF" w:fill="F7C3A0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ED7D31" w:themeFill="accent2"/>
      </w:tcPr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  <w:sz w:val="22"/>
      </w:rPr>
      <w:tblPr/>
      <w:tcPr>
        <w:shd w:val="clear" w:color="FFFFFF" w:fill="ED7D31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6D6D6" w:themeFill="accent3" w:themeFillTint="75"/>
      </w:tcPr>
    </w:tblStylePr>
    <w:tblStylePr w:type="band1Vert">
      <w:pPr/>
      <w:tblPr/>
      <w:tcPr>
        <w:shd w:val="clear" w:color="FFFFFF" w:fill="D6D6D6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A5A5A5" w:themeFill="accent3"/>
      </w:tcPr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  <w:sz w:val="22"/>
      </w:rPr>
      <w:tblPr/>
      <w:tcPr>
        <w:shd w:val="clear" w:color="FFFFFF" w:fill="A5A5A5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FE28A" w:themeFill="accent4" w:themeFillTint="75"/>
      </w:tcPr>
    </w:tblStylePr>
    <w:tblStylePr w:type="band1Vert">
      <w:pPr/>
      <w:tblPr/>
      <w:tcPr>
        <w:shd w:val="clear" w:color="FFFFFF" w:fill="FFE28A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FC000" w:themeFill="accent4"/>
      </w:tcPr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  <w:sz w:val="22"/>
      </w:rPr>
      <w:tblPr/>
      <w:tcPr>
        <w:shd w:val="clear" w:color="FFFFFF" w:fill="FFC000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9BEE4" w:themeFill="accent5" w:themeFillTint="75"/>
      </w:tcPr>
    </w:tblStylePr>
    <w:tblStylePr w:type="band1Vert">
      <w:pPr/>
      <w:tblPr/>
      <w:tcPr>
        <w:shd w:val="clear" w:color="FFFFFF" w:fill="A9BE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472C4" w:themeFill="accent5"/>
      </w:tcPr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  <w:sz w:val="22"/>
      </w:rPr>
      <w:tblPr/>
      <w:tcPr>
        <w:shd w:val="clear" w:color="FFFFFF" w:fill="4472C4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BDDBA8" w:themeFill="accent6" w:themeFillTint="75"/>
      </w:tcPr>
    </w:tblStylePr>
    <w:tblStylePr w:type="band1Vert">
      <w:pPr/>
      <w:tblPr/>
      <w:tcPr>
        <w:shd w:val="clear" w:color="FFFFFF" w:fill="BDDBA8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70AD47" w:themeFill="accent6"/>
      </w:tcPr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  <w:sz w:val="22"/>
      </w:rPr>
      <w:tblPr/>
      <w:tcPr>
        <w:shd w:val="clear" w:color="FFFFFF" w:fill="70AD47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0">
    <w:name w:val="Grid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61">
    <w:name w:val="Grid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pPr/>
      <w:tblPr/>
      <w:tcPr>
        <w:shd w:val="clear" w:color="FFFFFF" w:fill="DEEBF6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pPr/>
      <w:tblPr/>
      <w:tcPr>
        <w:shd w:val="clear" w:color="FFFFFF" w:fill="FBE6D7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pPr/>
      <w:tblPr/>
      <w:tcPr>
        <w:shd w:val="clear" w:color="FFFFFF" w:fill="EDEDE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pPr/>
      <w:tblPr/>
      <w:tcPr>
        <w:shd w:val="clear" w:color="FFFFFF" w:fill="FFF2CB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pPr/>
      <w:tblPr/>
      <w:tcPr>
        <w:shd w:val="clear" w:color="FFFFFF" w:fill="D9E2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pPr/>
      <w:tblPr/>
      <w:tcPr>
        <w:shd w:val="clear" w:color="FFFFFF" w:fill="E2EF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775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5B9BD5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ED7D31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A5A5A5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FC000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472C4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70AD47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7">
    <w:name w:val="List Table 5 Dark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8">
    <w:name w:val="List Table 5 Dark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99">
    <w:name w:val="List Table 5 Dark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0">
    <w:name w:val="List Table 5 Dark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1">
    <w:name w:val="List Table 5 Dark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2">
    <w:name w:val="List Table 5 Dark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03">
    <w:name w:val="List Table 6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pPr/>
      <w:tblPr/>
      <w:tcPr>
        <w:shd w:val="clear" w:color="FFFFFF" w:fill="D6E6F4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12">
    <w:name w:val="List Table 7 Colorful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pPr/>
      <w:tblPr/>
      <w:tcPr>
        <w:shd w:val="clear" w:color="FFFFFF" w:fill="FADECB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pPr/>
      <w:tblPr/>
      <w:tcPr>
        <w:shd w:val="clear" w:color="FFFFFF" w:fill="E8E8E8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pPr/>
      <w:tblPr/>
      <w:tcPr>
        <w:shd w:val="clear" w:color="FFFFFF" w:fill="FFEFBF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pPr/>
      <w:tblPr/>
      <w:tcPr>
        <w:shd w:val="clear" w:color="FFFFFF" w:fill="D0DC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pPr/>
      <w:tblPr/>
      <w:tcPr>
        <w:shd w:val="clear" w:color="FFFFFF" w:fill="DBEC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17">
    <w:name w:val="Lined - Accent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775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pPr/>
      <w:rPr>
        <w:sz w:val="22"/>
      </w:rPr>
      <w:tblPr/>
      <w:tcPr>
        <w:shd w:val="clear" w:color="FFFFFF" w:fill="CCE0F2" w:themeFill="accent1" w:themeFillTint="50"/>
      </w:tcPr>
    </w:tblStylePr>
    <w:tblStylePr w:type="fir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fir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lastCol">
      <w:pPr/>
      <w:rPr>
        <w:sz w:val="22"/>
      </w:rPr>
      <w:tblPr/>
      <w:tcPr>
        <w:shd w:val="clear" w:color="FFFFFF" w:fill="69A3D8" w:themeFill="accent1" w:themeFillTint="ea"/>
      </w:tcPr>
    </w:tblStylePr>
    <w:tblStylePr w:type="lastRow">
      <w:pPr/>
      <w:rPr>
        <w:sz w:val="22"/>
      </w:rPr>
      <w:tblPr/>
      <w:tcPr>
        <w:shd w:val="clear" w:color="FFFFFF" w:fill="69A3D8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pPr/>
      <w:rPr>
        <w:sz w:val="22"/>
      </w:rPr>
      <w:tblPr/>
      <w:tcPr>
        <w:shd w:val="clear" w:color="FFFFFF" w:fill="FBE6D7" w:themeFill="accent2" w:themeFillTint="32"/>
      </w:tcPr>
    </w:tblStylePr>
    <w:tblStylePr w:type="fir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fir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lastCol">
      <w:pPr/>
      <w:rPr>
        <w:sz w:val="22"/>
      </w:rPr>
      <w:tblPr/>
      <w:tcPr>
        <w:shd w:val="clear" w:color="FFFFFF" w:fill="F4B285" w:themeFill="accent2" w:themeFillTint="97"/>
      </w:tcPr>
    </w:tblStylePr>
    <w:tblStylePr w:type="lastRow">
      <w:pPr/>
      <w:rPr>
        <w:sz w:val="22"/>
      </w:rPr>
      <w:tblPr/>
      <w:tcPr>
        <w:shd w:val="clear" w:color="FFFFFF" w:fill="F4B28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fir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lastCol">
      <w:pPr/>
      <w:rPr>
        <w:sz w:val="22"/>
      </w:rPr>
      <w:tblPr/>
      <w:tcPr>
        <w:shd w:val="clear" w:color="FFFFFF" w:fill="A5A5A5" w:themeFill="accent3" w:themeFillTint="fe"/>
      </w:tcPr>
    </w:tblStylePr>
    <w:tblStylePr w:type="lastRow">
      <w:pPr/>
      <w:rPr>
        <w:sz w:val="22"/>
      </w:rPr>
      <w:tblPr/>
      <w:tcPr>
        <w:shd w:val="clear" w:color="FFFFFF" w:fill="A5A5A5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pPr/>
      <w:rPr>
        <w:sz w:val="22"/>
      </w:rPr>
      <w:tblPr/>
      <w:tcPr>
        <w:shd w:val="clear" w:color="FFFFFF" w:fill="FFF2CB" w:themeFill="accent4" w:themeFillTint="34"/>
      </w:tcPr>
    </w:tblStylePr>
    <w:tblStylePr w:type="fir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fir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lastCol">
      <w:pPr/>
      <w:rPr>
        <w:sz w:val="22"/>
      </w:rPr>
      <w:tblPr/>
      <w:tcPr>
        <w:shd w:val="clear" w:color="FFFFFF" w:fill="FFD965" w:themeFill="accent4" w:themeFillTint="9a"/>
      </w:tcPr>
    </w:tblStylePr>
    <w:tblStylePr w:type="lastRow">
      <w:pPr/>
      <w:rPr>
        <w:sz w:val="22"/>
      </w:rPr>
      <w:tblPr/>
      <w:tcPr>
        <w:shd w:val="clear" w:color="FFFFFF" w:fill="FFD965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9E2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472C4" w:themeFill="accent5"/>
      </w:tcPr>
    </w:tblStylePr>
    <w:tblStylePr w:type="firstRow">
      <w:pPr/>
      <w:rPr>
        <w:sz w:val="22"/>
      </w:rPr>
      <w:tblPr/>
      <w:tcPr>
        <w:shd w:val="clear" w:color="FFFFFF" w:fill="4472C4" w:themeFill="accent5"/>
      </w:tcPr>
    </w:tblStylePr>
    <w:tblStylePr w:type="lastCol">
      <w:pPr/>
      <w:rPr>
        <w:sz w:val="22"/>
      </w:rPr>
      <w:tblPr/>
      <w:tcPr>
        <w:shd w:val="clear" w:color="FFFFFF" w:fill="4472C4" w:themeFill="accent5"/>
      </w:tcPr>
    </w:tblStylePr>
    <w:tblStylePr w:type="lastRow">
      <w:pPr/>
      <w:rPr>
        <w:sz w:val="22"/>
      </w:rPr>
      <w:tblPr/>
      <w:tcPr>
        <w:shd w:val="clear" w:color="FFFFFF" w:fill="4472C4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775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E2EFD9" w:themeFill="accent6" w:themeFillTint="34"/>
      </w:tcPr>
    </w:tblStylePr>
    <w:tblStylePr w:type="firstCol">
      <w:pPr/>
      <w:rPr>
        <w:sz w:val="22"/>
      </w:rPr>
      <w:tblPr/>
      <w:tcPr>
        <w:shd w:val="clear" w:color="FFFFFF" w:fill="70AD47" w:themeFill="accent6"/>
      </w:tcPr>
    </w:tblStylePr>
    <w:tblStylePr w:type="firstRow">
      <w:pPr/>
      <w:rPr>
        <w:sz w:val="22"/>
      </w:rPr>
      <w:tblPr/>
      <w:tcPr>
        <w:shd w:val="clear" w:color="FFFFFF" w:fill="70AD47" w:themeFill="accent6"/>
      </w:tcPr>
    </w:tblStylePr>
    <w:tblStylePr w:type="lastCol">
      <w:pPr/>
      <w:rPr>
        <w:sz w:val="22"/>
      </w:rPr>
      <w:tblPr/>
      <w:tcPr>
        <w:shd w:val="clear" w:color="FFFFFF" w:fill="70AD47" w:themeFill="accent6"/>
      </w:tcPr>
    </w:tblStylePr>
    <w:tblStylePr w:type="lastRow">
      <w:pPr/>
      <w:rPr>
        <w:sz w:val="22"/>
      </w:rPr>
      <w:tblPr/>
      <w:tcPr>
        <w:shd w:val="clear" w:color="FFFFFF" w:fill="70AD47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7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775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6">
    <w:name w:val="Table Grid"/>
    <w:basedOn w:val="775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LibreOffice/24.2.7.2$Linux_X86_64 LibreOffice_project/420$Build-2</Application>
  <AppVersion>15.0000</AppVersion>
  <Pages>7</Pages>
  <Words>1384</Words>
  <Characters>8274</Characters>
  <CharactersWithSpaces>9816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2018-09-01T16:09:00Z</dcterms:created>
  <dc:creator>UO3</dc:creator>
  <dc:description/>
  <dc:language>en-GB</dc:language>
  <cp:lastModifiedBy/>
  <cp:lastPrinted>2026-05-27T17:32:32Z</cp:lastPrinted>
  <dcterms:modified xsi:type="dcterms:W3CDTF">2026-05-27T17:32:39Z</dcterms:modified>
  <cp:revision>128</cp:revision>
  <dc:subject/>
  <dc:title>СОФИЙСКИ УНИВЕРСИТЕТ „СВ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