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Утвърждавам: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Декан ФзФ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heading=h.nkrqk6v93lct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(проф. дфзн Г. Райновски)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КОНСПЕКТ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14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 кандидат-докторантски изпит по специалностta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“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1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физика на елементарните частици и високите енергии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”</w:t>
      </w:r>
    </w:p>
    <w:p w:rsidR="00000000" w:rsidDel="00000000" w:rsidP="00000000" w:rsidRDefault="00000000" w:rsidRPr="00000000" w14:paraId="00000009">
      <w:pPr>
        <w:spacing w:after="0" w:before="120" w:lineRule="auto"/>
        <w:ind w:left="72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0" w:line="240" w:lineRule="auto"/>
        <w:ind w:left="0" w:right="-466.062992125984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Основи на кинематиката на елементарните частици.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Пространство на Минковски, преобразования на Лоренц, релативистки и динамични инварианти, ефективна маса. Основни типове експерименти, лабораторна система, система на центъра на масите. Преходи между различни отправни системи и трансформации на различните величини. Естествена система мерни единици: ħ = c = 1.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0" w:line="240" w:lineRule="auto"/>
        <w:ind w:left="0" w:right="-466.062992125984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Основни свойства на елементарните частици.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Пространствени и вътрешни квантови числа. Лептони и адрони, мезони и бариони, фундаментални частици, поколения. Ширина и време на живот на нестабилните частици: средно време на живот, резонанси, разпределение на Брайт-Вигнер.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0" w:line="240" w:lineRule="auto"/>
        <w:ind w:left="0" w:right="-466.062992125984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Матричен елемент за преход.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Фазов обем, вероятност за разпад и сечение за взаимодействие. Златно правило на Ферми.</w:t>
      </w:r>
    </w:p>
    <w:p w:rsidR="00000000" w:rsidDel="00000000" w:rsidP="00000000" w:rsidRDefault="00000000" w:rsidRPr="00000000" w14:paraId="0000000D">
      <w:pPr>
        <w:spacing w:after="0" w:before="120" w:lineRule="auto"/>
        <w:ind w:left="0" w:right="-466.062992125984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4. Симетрии, инвариантност и закони за запазване. </w:t>
      </w:r>
      <w:r w:rsidDel="00000000" w:rsidR="00000000" w:rsidRPr="00000000">
        <w:rPr>
          <w:rtl w:val="0"/>
        </w:rPr>
        <w:t xml:space="preserve">Понятие за преобразувания на симетрия, пространствени и вътрешни симетрии, глобални и локални симетрии. Теорема на Ньотер и динамични инварианти. Група на Пуанкаре, Примери – скаларно, векторно и спинорно полета.</w:t>
      </w:r>
    </w:p>
    <w:p w:rsidR="00000000" w:rsidDel="00000000" w:rsidP="00000000" w:rsidRDefault="00000000" w:rsidRPr="00000000" w14:paraId="0000000E">
      <w:pPr>
        <w:spacing w:after="0" w:before="120" w:lineRule="auto"/>
        <w:ind w:left="0" w:right="-466.062992125984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5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b w:val="1"/>
          <w:bCs w:val="1"/>
          <w:rtl w:val="0"/>
        </w:rPr>
        <w:t xml:space="preserve">Дискретни симетрии</w:t>
      </w:r>
      <w:r w:rsidDel="00000000" w:rsidR="00000000" w:rsidRPr="00000000">
        <w:rPr>
          <w:rtl w:val="0"/>
        </w:rPr>
        <w:t xml:space="preserve">. Пространствени отражения, обръщане на времето, зарядово спрягане. Запазващи се величини. Запазване на C, P, T в силни и електромагнитни взаимодействия. СРТ-теорема.</w:t>
      </w:r>
    </w:p>
    <w:p w:rsidR="00000000" w:rsidDel="00000000" w:rsidP="00000000" w:rsidRDefault="00000000" w:rsidRPr="00000000" w14:paraId="0000000F">
      <w:pPr>
        <w:spacing w:after="0" w:before="120" w:lineRule="auto"/>
        <w:ind w:left="0" w:right="-466.062992125984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6.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Кварк-партонен модел.</w:t>
      </w:r>
      <w:r w:rsidDel="00000000" w:rsidR="00000000" w:rsidRPr="00000000">
        <w:rPr>
          <w:rtl w:val="0"/>
        </w:rPr>
        <w:t xml:space="preserve"> Лептон-нуклонно разсейване. Еластично разсейване и формфактори, дълбоко-нееластично разсейване и структурни функции. Партонен модел, скейлинг.</w:t>
      </w:r>
    </w:p>
    <w:p w:rsidR="00000000" w:rsidDel="00000000" w:rsidP="00000000" w:rsidRDefault="00000000" w:rsidRPr="00000000" w14:paraId="00000010">
      <w:pPr>
        <w:spacing w:after="0" w:before="120" w:lineRule="auto"/>
        <w:ind w:left="0" w:right="-466.062992125984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7.</w:t>
      </w: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b w:val="1"/>
          <w:bCs w:val="1"/>
          <w:rtl w:val="0"/>
        </w:rPr>
        <w:t xml:space="preserve">Кварков модел</w:t>
      </w:r>
      <w:r w:rsidDel="00000000" w:rsidR="00000000" w:rsidRPr="00000000">
        <w:rPr>
          <w:rtl w:val="0"/>
        </w:rPr>
        <w:t xml:space="preserve">. Изоспин. Пион-нуклонно разсейване и мезонни разпади. SU(3) – класификация на адроните, кварки.  Формула на Гел-Ман – Нишиджима, c,b,t – кварки, SU(6).</w:t>
      </w:r>
    </w:p>
    <w:p w:rsidR="00000000" w:rsidDel="00000000" w:rsidP="00000000" w:rsidRDefault="00000000" w:rsidRPr="00000000" w14:paraId="00000011">
      <w:pPr>
        <w:spacing w:after="0" w:before="120" w:lineRule="auto"/>
        <w:ind w:left="0" w:right="-466.062992125984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8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b w:val="1"/>
          <w:bCs w:val="1"/>
          <w:rtl w:val="0"/>
        </w:rPr>
        <w:t xml:space="preserve">Квантовото число цвят</w:t>
      </w:r>
      <w:r w:rsidDel="00000000" w:rsidR="00000000" w:rsidRPr="00000000">
        <w:rPr>
          <w:rtl w:val="0"/>
        </w:rPr>
        <w:t xml:space="preserve">. Безцветност на адроните, конфайнмънт. Експериментални указания за съществуването на цвят: π</w:t>
      </w:r>
      <w:r w:rsidDel="00000000" w:rsidR="00000000" w:rsidRPr="00000000">
        <w:rPr>
          <w:vertAlign w:val="superscript"/>
          <w:rtl w:val="0"/>
        </w:rPr>
        <w:t xml:space="preserve">о</w:t>
      </w:r>
      <w:sdt>
        <w:sdtPr>
          <w:id w:val="-987379731"/>
          <w:tag w:val="goog_rdk_0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→γγ, е</w:t>
          </w:r>
        </w:sdtContent>
      </w:sdt>
      <w:r w:rsidDel="00000000" w:rsidR="00000000" w:rsidRPr="00000000">
        <w:rPr>
          <w:vertAlign w:val="superscript"/>
          <w:rtl w:val="0"/>
        </w:rPr>
        <w:t xml:space="preserve">+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vertAlign w:val="superscript"/>
          <w:rtl w:val="0"/>
        </w:rPr>
        <w:t xml:space="preserve">-  </w:t>
      </w:r>
      <w:r w:rsidDel="00000000" w:rsidR="00000000" w:rsidRPr="00000000">
        <w:rPr>
          <w:rtl w:val="0"/>
        </w:rPr>
        <w:t xml:space="preserve">- анихилация, адронни струи.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0" w:line="240" w:lineRule="auto"/>
        <w:ind w:left="0" w:right="-466.062992125984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Източници на високоенергетични частици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Космически лъчи. Ускорители. Линейни ускорители. Циклотрон, синхроциклотронтрон, синхрофазотрон. Ускорители с насрещни снопове. Светимост. Ускорителни комплекси.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0" w:line="240" w:lineRule="auto"/>
        <w:ind w:left="0" w:right="-466.062992125984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10. Детектори на елементарни частици. </w:t>
      </w:r>
      <w:r w:rsidDel="00000000" w:rsidR="00000000" w:rsidRPr="00000000">
        <w:rPr>
          <w:rtl w:val="0"/>
        </w:rPr>
        <w:t xml:space="preserve">Типове и основни характеристики (общ преглед). Йонизация и възбуждане при преминаване на заредени частици през вещество, и трекови детектори, базирани на тях: многонишкова пропорционална камера, дрейфови камери, време-проекционни камери, полупроводникови детектори. Измерване на импулса на заредени частици по кривината на траекторията им в магнитно поле.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0" w:line="240" w:lineRule="auto"/>
        <w:ind w:left="0" w:right="-466.062992125984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11. Ефектът на Черенков и преходно излъчване. </w:t>
      </w:r>
      <w:r w:rsidDel="00000000" w:rsidR="00000000" w:rsidRPr="00000000">
        <w:rPr>
          <w:rtl w:val="0"/>
        </w:rPr>
        <w:t xml:space="preserve">Черенковски броячи: прагови и диференциални Черенковски броячи, RICH-технология. детектори на преходно излъчване.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0" w:line="240" w:lineRule="auto"/>
        <w:ind w:left="0" w:right="-466.062992125984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12. Взаимодействие на високоенергетични електрони, позитрони и гама-кванти с веществото. </w:t>
      </w:r>
      <w:r w:rsidDel="00000000" w:rsidR="00000000" w:rsidRPr="00000000">
        <w:rPr>
          <w:rtl w:val="0"/>
        </w:rPr>
        <w:t xml:space="preserve">Спирачно лъчение, раждане на двойка електрон-позитрон, радиационна дължина, електромагнитни каскади – и електромагнитни калориметри, изградени на тяхна основа.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0" w:line="240" w:lineRule="auto"/>
        <w:ind w:left="0" w:right="-466.062992125984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13. Сцинтилационни процеси. </w:t>
      </w:r>
      <w:r w:rsidDel="00000000" w:rsidR="00000000" w:rsidRPr="00000000">
        <w:rPr>
          <w:rtl w:val="0"/>
        </w:rPr>
        <w:t xml:space="preserve">Сцинтилационни броячи: видове сцинтилатори, сцинтилационни влакна, многоканални детектори, фотодетектори. Адронни калориметри за измерване на енергията на частиците.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0" w:line="240" w:lineRule="auto"/>
        <w:ind w:left="0" w:right="-466.062992125984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rtl w:val="0"/>
        </w:rPr>
        <w:t xml:space="preserve">14. Методи за идентификация на частици. </w:t>
      </w:r>
      <w:r w:rsidDel="00000000" w:rsidR="00000000" w:rsidRPr="00000000">
        <w:rPr>
          <w:rtl w:val="0"/>
        </w:rPr>
        <w:t xml:space="preserve">Измерване на специфични йонизационни загуби (dE/dx), детектори по време на прелитане (TOF), калориметрична идентификация, измерване на импулс и скорост, комбиниране на няколко метода за идентификация.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before="320" w:lineRule="auto"/>
        <w:ind w:left="0" w:right="-466.062992125984" w:firstLine="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15.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Детекторни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комплекси</w:t>
      </w:r>
      <w:r w:rsidDel="00000000" w:rsidR="00000000" w:rsidRPr="00000000">
        <w:rPr>
          <w:rtl w:val="0"/>
        </w:rPr>
        <w:t xml:space="preserve">. Пример за комплекс, работещ на някой от ускорителите LHC, SPS, Fermilab, RHIC или друг (по избор).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0" w:line="240" w:lineRule="auto"/>
        <w:ind w:left="0" w:right="-466.062992125984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16. Фундаментални взаимодействия и частици.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Основни типове взаимодействия. Локална калибровъчна инвариантност, калибровъчни бозони. Електромагнитно поле. Неабелева калибровъчна инвариантност.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0" w:line="240" w:lineRule="auto"/>
        <w:ind w:left="0" w:right="-466.062992125984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17. Силно взаимодействие.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(3) – локална инвариантност, глуони.</w:t>
        <w:tab/>
        <w:t xml:space="preserve">Квантова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хромодинамика (КХД). Бягаща константа на взаимодействието, асимптотическа свобода. Пертурбативна КХД. </w:t>
      </w:r>
    </w:p>
    <w:p w:rsidR="00000000" w:rsidDel="00000000" w:rsidP="00000000" w:rsidRDefault="00000000" w:rsidRPr="00000000" w14:paraId="0000001B">
      <w:pPr>
        <w:spacing w:after="0" w:before="320" w:lineRule="auto"/>
        <w:ind w:left="0" w:right="-466.062992125984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18. Слабо взаимодействие</w:t>
      </w:r>
      <w:r w:rsidDel="00000000" w:rsidR="00000000" w:rsidRPr="00000000">
        <w:rPr>
          <w:rtl w:val="0"/>
        </w:rPr>
        <w:t xml:space="preserve">. Лептонни и кваркови токове. V-A модел. Експериментални потвърждения. GIM механизъм. Смесване на кварките, матрица на Кабибо - Кобаяши – Маскава.</w:t>
      </w:r>
    </w:p>
    <w:p w:rsidR="00000000" w:rsidDel="00000000" w:rsidP="00000000" w:rsidRDefault="00000000" w:rsidRPr="00000000" w14:paraId="0000001C">
      <w:pPr>
        <w:spacing w:after="0" w:before="320" w:lineRule="auto"/>
        <w:ind w:left="0" w:right="-466.062992125984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19.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Обединение на електромагнитното и слабото взаимодействие. </w:t>
      </w:r>
      <w:r w:rsidDel="00000000" w:rsidR="00000000" w:rsidRPr="00000000">
        <w:rPr>
          <w:rtl w:val="0"/>
        </w:rPr>
        <w:t xml:space="preserve">Модел на Уайнбърг–Глешоу–Салам.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Спонтанно нарушение на симетрията. Механизъм на Хигс.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W</w:t>
      </w:r>
      <w:r w:rsidDel="00000000" w:rsidR="00000000" w:rsidRPr="00000000">
        <w:rPr>
          <w:vertAlign w:val="superscript"/>
          <w:rtl w:val="0"/>
        </w:rPr>
        <w:t xml:space="preserve">±</w:t>
      </w:r>
      <w:r w:rsidDel="00000000" w:rsidR="00000000" w:rsidRPr="00000000">
        <w:rPr>
          <w:rtl w:val="0"/>
        </w:rPr>
        <w:t xml:space="preserve">- и Z</w:t>
      </w:r>
      <w:r w:rsidDel="00000000" w:rsidR="00000000" w:rsidRPr="00000000">
        <w:rPr>
          <w:vertAlign w:val="superscript"/>
          <w:rtl w:val="0"/>
        </w:rPr>
        <w:t xml:space="preserve">0</w:t>
      </w:r>
      <w:r w:rsidDel="00000000" w:rsidR="00000000" w:rsidRPr="00000000">
        <w:rPr>
          <w:rtl w:val="0"/>
        </w:rPr>
        <w:t xml:space="preserve">- бозони, Хигс-бозон. Маси на частиците.</w:t>
      </w:r>
    </w:p>
    <w:p w:rsidR="00000000" w:rsidDel="00000000" w:rsidP="00000000" w:rsidRDefault="00000000" w:rsidRPr="00000000" w14:paraId="0000001D">
      <w:pPr>
        <w:spacing w:after="0" w:before="320" w:lineRule="auto"/>
        <w:ind w:left="0" w:right="-466.062992125984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20. Нарушаване на CP инвариантността в слаби процеси.</w:t>
      </w:r>
      <w:r w:rsidDel="00000000" w:rsidR="00000000" w:rsidRPr="00000000">
        <w:rPr>
          <w:rtl w:val="0"/>
        </w:rPr>
        <w:t xml:space="preserve"> Смесване на неутрални каони и осцилации на странността. Пряко и непряко нарушение на CP инвариантността в разпади на неутрални каони и В-мезони. Електро-диполен момент на неутрона.</w:t>
      </w:r>
    </w:p>
    <w:p w:rsidR="00000000" w:rsidDel="00000000" w:rsidP="00000000" w:rsidRDefault="00000000" w:rsidRPr="00000000" w14:paraId="0000001E">
      <w:pPr>
        <w:spacing w:after="0" w:before="320" w:lineRule="auto"/>
        <w:ind w:left="0" w:right="-466.062992125984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21. Взаимодействия и маси на неутрината. </w:t>
      </w:r>
      <w:r w:rsidDel="00000000" w:rsidR="00000000" w:rsidRPr="00000000">
        <w:rPr>
          <w:rtl w:val="0"/>
        </w:rPr>
        <w:t xml:space="preserve">Заредени и неутрални токове. Осцилации на неутрината и производни процеси. Експериментални потвърждения.</w:t>
      </w:r>
    </w:p>
    <w:p w:rsidR="00000000" w:rsidDel="00000000" w:rsidP="00000000" w:rsidRDefault="00000000" w:rsidRPr="00000000" w14:paraId="0000001F">
      <w:pPr>
        <w:spacing w:after="0" w:before="320" w:lineRule="auto"/>
        <w:ind w:left="0" w:right="-466.062992125984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22. Модели на велико обединение</w:t>
      </w:r>
      <w:r w:rsidDel="00000000" w:rsidR="00000000" w:rsidRPr="00000000">
        <w:rPr>
          <w:rtl w:val="0"/>
        </w:rPr>
        <w:t xml:space="preserve">. Бягаща константа на взаимодействието. Примери - SU(5) модел и/или други. Лепто-кварки. Разпадане на протона.</w:t>
      </w:r>
    </w:p>
    <w:p w:rsidR="00000000" w:rsidDel="00000000" w:rsidP="00000000" w:rsidRDefault="00000000" w:rsidRPr="00000000" w14:paraId="00000020">
      <w:pPr>
        <w:spacing w:after="0" w:before="320" w:lineRule="auto"/>
        <w:ind w:left="0" w:right="-466.062992125984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23. Вероятности</w:t>
      </w:r>
      <w:r w:rsidDel="00000000" w:rsidR="00000000" w:rsidRPr="00000000">
        <w:rPr>
          <w:rtl w:val="0"/>
        </w:rPr>
        <w:t xml:space="preserve">. Теорема на Bayes. Биномно, Поасоново и Гаусово разпределение. Централна гранична теорема и функции на случайни величини; разпространение на грешки. Методът Монте Карло — генериране на случайни числа и симулиране на експерименти.</w:t>
      </w:r>
    </w:p>
    <w:p w:rsidR="00000000" w:rsidDel="00000000" w:rsidP="00000000" w:rsidRDefault="00000000" w:rsidRPr="00000000" w14:paraId="00000021">
      <w:pPr>
        <w:spacing w:after="0" w:before="320" w:lineRule="auto"/>
        <w:ind w:left="0" w:right="-466.062992125984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24. Статистически анализ.</w:t>
      </w:r>
      <w:r w:rsidDel="00000000" w:rsidR="00000000" w:rsidRPr="00000000">
        <w:rPr>
          <w:rtl w:val="0"/>
        </w:rPr>
        <w:t xml:space="preserve"> Проверката на хипотези и качество на апроксимацията. Neyman-Pearson критерий. Оценка на параметри. Методът на максималното правдоподобие. Метод на най-малките квадрати и линейна регресия. Доверителни интервали. Примери.</w:t>
      </w:r>
    </w:p>
    <w:p w:rsidR="00000000" w:rsidDel="00000000" w:rsidP="00000000" w:rsidRDefault="00000000" w:rsidRPr="00000000" w14:paraId="00000022">
      <w:pPr>
        <w:spacing w:after="0" w:before="120" w:lineRule="auto"/>
        <w:ind w:left="0" w:right="-466.062992125984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before="120" w:lineRule="auto"/>
        <w:ind w:left="0" w:right="-466.062992125984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before="120" w:lineRule="auto"/>
        <w:ind w:left="0" w:right="-466.062992125984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before="120" w:lineRule="auto"/>
        <w:ind w:left="0" w:right="-466.062992125984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Литература:</w:t>
      </w:r>
    </w:p>
    <w:p w:rsidR="00000000" w:rsidDel="00000000" w:rsidP="00000000" w:rsidRDefault="00000000" w:rsidRPr="00000000" w14:paraId="00000026">
      <w:pPr>
        <w:spacing w:after="0" w:before="120" w:lineRule="auto"/>
        <w:ind w:left="0" w:right="-466.062992125984" w:firstLine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466.062992125984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D. Perkins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Introduction to High Energy Physics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4th edition, Cambridge University Press, 2000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466.062992125984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1"/>
          <w:iCs w:val="1"/>
          <w:rtl w:val="0"/>
        </w:rPr>
        <w:t xml:space="preserve">D.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Griffiths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Introduction to Elementary Particles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2nd edition, Wiley-VCH, 2008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466.062992125984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1"/>
          <w:iCs w:val="1"/>
          <w:rtl w:val="0"/>
        </w:rPr>
        <w:t xml:space="preserve">B. R.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Martin</w:t>
      </w:r>
      <w:r w:rsidDel="00000000" w:rsidR="00000000" w:rsidRPr="00000000">
        <w:rPr>
          <w:i w:val="1"/>
          <w:iCs w:val="1"/>
          <w:rtl w:val="0"/>
        </w:rPr>
        <w:t xml:space="preserve">, G.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Shaw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Particle Physics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4t</w:t>
      </w:r>
      <w:r w:rsidDel="00000000" w:rsidR="00000000" w:rsidRPr="00000000">
        <w:rPr>
          <w:rtl w:val="0"/>
        </w:rPr>
        <w:t xml:space="preserve">h edition, Wiley, 2017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466.062992125984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A. Bettini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Introduction to Elementary Particle Physic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s, 3rd edition, Cambridge University Press, 20</w:t>
      </w:r>
      <w:r w:rsidDel="00000000" w:rsidR="00000000" w:rsidRPr="00000000">
        <w:rPr>
          <w:rtl w:val="0"/>
        </w:rPr>
        <w:t xml:space="preserve">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466.062992125984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E. M. Henley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A. Garcia,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Subatomic Physics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3</w:t>
      </w:r>
      <w:r w:rsidDel="00000000" w:rsidR="00000000" w:rsidRPr="00000000">
        <w:rPr>
          <w:rtl w:val="0"/>
        </w:rPr>
        <w:t xml:space="preserve">rd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edition, World Scientific Publishing Company, 200</w:t>
      </w:r>
      <w:r w:rsidDel="00000000" w:rsidR="00000000" w:rsidRPr="00000000">
        <w:rPr>
          <w:rtl w:val="0"/>
        </w:rPr>
        <w:t xml:space="preserve">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466.062992125984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L. Ryder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Elementary Particles and Symmetries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Gordon and Breach Science Publishers, 1984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466.062992125984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E. Byckling, K. Kajantie,</w:t>
      </w:r>
      <w:r w:rsidDel="00000000" w:rsidR="00000000" w:rsidRPr="00000000">
        <w:rPr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Particle Kinematics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John Willey&amp;Sons, 1973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466.062992125984" w:firstLine="0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K. Kleinknecht,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Detectors for Particle Radiation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2nd ed</w:t>
      </w:r>
      <w:r w:rsidDel="00000000" w:rsidR="00000000" w:rsidRPr="00000000">
        <w:rPr>
          <w:rtl w:val="0"/>
        </w:rPr>
        <w:t xml:space="preserve">ition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Cambridge Univ. Press, 1999 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ind w:left="0" w:right="-466.062992125984" w:firstLine="0"/>
        <w:jc w:val="both"/>
      </w:pPr>
      <w:r w:rsidDel="00000000" w:rsidR="00000000" w:rsidRPr="00000000">
        <w:rPr>
          <w:i w:val="1"/>
          <w:iCs w:val="1"/>
          <w:rtl w:val="0"/>
        </w:rPr>
        <w:t xml:space="preserve">R. Wigmans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Calorimetry: Energy Measurement in Particle Physics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rtl w:val="0"/>
        </w:rPr>
        <w:t xml:space="preserve">2nd edition, Oxford University Press, ISBN: 9780198786351, 2017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466.062992125984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i w:val="1"/>
          <w:iCs w:val="1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Cowan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Statistical Data Analysis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Oxford University Press,</w:t>
      </w:r>
      <w:r w:rsidDel="00000000" w:rsidR="00000000" w:rsidRPr="00000000">
        <w:rPr>
          <w:rtl w:val="0"/>
        </w:rPr>
        <w:t xml:space="preserve"> 1998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before="120" w:lineRule="auto"/>
        <w:ind w:left="0" w:right="-466.062992125984" w:firstLine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8640"/>
        </w:tabs>
        <w:spacing w:after="0" w:before="0" w:line="240" w:lineRule="auto"/>
        <w:ind w:left="0" w:right="-466.062992125984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8640"/>
        </w:tabs>
        <w:spacing w:after="0" w:before="0" w:line="240" w:lineRule="auto"/>
        <w:ind w:left="0" w:right="-466.062992125984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8640"/>
        </w:tabs>
        <w:spacing w:after="0" w:before="0" w:line="240" w:lineRule="auto"/>
        <w:ind w:left="0" w:right="-466.062992125984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8640"/>
        </w:tabs>
        <w:spacing w:after="0" w:before="0" w:line="240" w:lineRule="auto"/>
        <w:ind w:left="0" w:right="-466.062992125984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8640"/>
        </w:tabs>
        <w:spacing w:after="0" w:before="0" w:line="240" w:lineRule="auto"/>
        <w:ind w:left="0" w:right="-466.062992125984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  <w:t xml:space="preserve"> </w:t>
      </w:r>
    </w:p>
    <w:p w:rsidR="00000000" w:rsidDel="00000000" w:rsidP="00000000" w:rsidRDefault="00000000" w:rsidRPr="00000000" w14:paraId="00000037">
      <w:pPr>
        <w:spacing w:after="0" w:before="120" w:lineRule="auto"/>
        <w:ind w:left="4410" w:right="-466.062992125984" w:firstLine="0"/>
        <w:rPr/>
      </w:pPr>
      <w:r w:rsidDel="00000000" w:rsidR="00000000" w:rsidRPr="00000000">
        <w:rPr>
          <w:rtl w:val="0"/>
        </w:rPr>
        <w:t xml:space="preserve">Ръководител на катедра</w:t>
      </w:r>
    </w:p>
    <w:p w:rsidR="00000000" w:rsidDel="00000000" w:rsidP="00000000" w:rsidRDefault="00000000" w:rsidRPr="00000000" w14:paraId="00000038">
      <w:pPr>
        <w:spacing w:after="0" w:before="120" w:lineRule="auto"/>
        <w:ind w:left="4410" w:right="-466.062992125984" w:firstLine="0"/>
        <w:rPr/>
      </w:pPr>
      <w:r w:rsidDel="00000000" w:rsidR="00000000" w:rsidRPr="00000000">
        <w:rPr>
          <w:rtl w:val="0"/>
        </w:rPr>
        <w:t xml:space="preserve">“Атомна физика”:</w:t>
      </w:r>
    </w:p>
    <w:p w:rsidR="00000000" w:rsidDel="00000000" w:rsidP="00000000" w:rsidRDefault="00000000" w:rsidRPr="00000000" w14:paraId="00000039">
      <w:pPr>
        <w:spacing w:after="0" w:before="120" w:lineRule="auto"/>
        <w:ind w:left="5850" w:right="-466.062992125984" w:firstLine="630"/>
        <w:rPr/>
      </w:pPr>
      <w:r w:rsidDel="00000000" w:rsidR="00000000" w:rsidRPr="00000000">
        <w:rPr>
          <w:rtl w:val="0"/>
        </w:rPr>
        <w:t xml:space="preserve">(доц. д-р Мариян Богомилов)</w:t>
      </w:r>
    </w:p>
    <w:sectPr>
      <w:pgSz w:h="15840" w:w="12240" w:orient="portrait"/>
      <w:pgMar w:bottom="720" w:top="1440" w:left="1417.3228346456694" w:right="147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Gungsuh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140" w:hanging="420"/>
      </w:pPr>
      <w:rPr/>
    </w:lvl>
    <w:lvl w:ilvl="1">
      <w:start w:val="1"/>
      <w:numFmt w:val="decimal"/>
      <w:lvlText w:val="%2."/>
      <w:lvlJc w:val="left"/>
      <w:pPr>
        <w:ind w:left="1080" w:hanging="360"/>
      </w:pPr>
      <w:rPr/>
    </w:lvl>
    <w:lvl w:ilvl="2">
      <w:start w:val="1"/>
      <w:numFmt w:val="decimal"/>
      <w:lvlText w:val="%3."/>
      <w:lvlJc w:val="left"/>
      <w:pPr>
        <w:ind w:left="1440" w:hanging="360"/>
      </w:pPr>
      <w:rPr/>
    </w:lvl>
    <w:lvl w:ilvl="3">
      <w:start w:val="1"/>
      <w:numFmt w:val="decimal"/>
      <w:lvlText w:val="%4."/>
      <w:lvlJc w:val="left"/>
      <w:pPr>
        <w:ind w:left="1800" w:hanging="360"/>
      </w:pPr>
      <w:rPr/>
    </w:lvl>
    <w:lvl w:ilvl="4">
      <w:start w:val="1"/>
      <w:numFmt w:val="decimal"/>
      <w:lvlText w:val="%5."/>
      <w:lvlJc w:val="left"/>
      <w:pPr>
        <w:ind w:left="2160" w:hanging="360"/>
      </w:pPr>
      <w:rPr/>
    </w:lvl>
    <w:lvl w:ilvl="5">
      <w:start w:val="1"/>
      <w:numFmt w:val="decimal"/>
      <w:lvlText w:val="%6."/>
      <w:lvlJc w:val="left"/>
      <w:pPr>
        <w:ind w:left="2520" w:hanging="360"/>
      </w:pPr>
      <w:rPr/>
    </w:lvl>
    <w:lvl w:ilvl="6">
      <w:start w:val="1"/>
      <w:numFmt w:val="decimal"/>
      <w:lvlText w:val="%7."/>
      <w:lvlJc w:val="left"/>
      <w:pPr>
        <w:ind w:left="2880" w:hanging="360"/>
      </w:pPr>
      <w:rPr/>
    </w:lvl>
    <w:lvl w:ilvl="7">
      <w:start w:val="1"/>
      <w:numFmt w:val="decimal"/>
      <w:lvlText w:val="%8."/>
      <w:lvlJc w:val="left"/>
      <w:pPr>
        <w:ind w:left="3240" w:hanging="360"/>
      </w:pPr>
      <w:rPr/>
    </w:lvl>
    <w:lvl w:ilvl="8">
      <w:start w:val="1"/>
      <w:numFmt w:val="decimal"/>
      <w:lvlText w:val="%9."/>
      <w:lvlJc w:val="left"/>
      <w:pPr>
        <w:ind w:left="360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bg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Hyperlink">
    <w:name w:val="Hyperlink"/>
    <w:basedOn w:val="DefaultParagraphFont"/>
    <w:uiPriority w:val="99"/>
    <w:rsid w:val="00C67B8B"/>
    <w:rPr>
      <w:rFonts w:cs="Times New Roman"/>
      <w:color w:val="0066cc"/>
      <w:u w:val="single"/>
    </w:rPr>
  </w:style>
  <w:style w:type="character" w:styleId="BodyTextIndent2Char" w:customStyle="1">
    <w:name w:val="Body Text Indent 2 Char"/>
    <w:basedOn w:val="DefaultParagraphFont"/>
    <w:link w:val="BodyTextIndent2"/>
    <w:uiPriority w:val="99"/>
    <w:semiHidden w:val="1"/>
    <w:qFormat w:val="1"/>
    <w:rsid w:val="00A704D9"/>
    <w:rPr>
      <w:sz w:val="24"/>
      <w:szCs w:val="24"/>
    </w:rPr>
  </w:style>
  <w:style w:type="paragraph" w:styleId="Heading">
    <w:name w:val="Heading"/>
    <w:basedOn w:val="Normal"/>
    <w:next w:val="BodyText"/>
    <w:qFormat w:val="1"/>
    <w:pPr>
      <w:keepNext w:val="1"/>
      <w:spacing w:after="120" w:before="240"/>
    </w:pPr>
    <w:rPr>
      <w:rFonts w:ascii="Liberation Sans" w:cs="Noto Sans Devanagari" w:eastAsia="Noto Sans CJK SC" w:hAnsi="Liberation Sans"/>
      <w:sz w:val="28"/>
      <w:szCs w:val="28"/>
    </w:rPr>
  </w:style>
  <w:style w:type="paragraph" w:styleId="BodyText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Noto Sans Devanagari"/>
      <w:i w:val="1"/>
      <w:iCs w:val="1"/>
      <w:sz w:val="24"/>
      <w:szCs w:val="24"/>
    </w:rPr>
  </w:style>
  <w:style w:type="paragraph" w:styleId="Index">
    <w:name w:val="Index"/>
    <w:basedOn w:val="Normal"/>
    <w:qFormat w:val="1"/>
    <w:pPr>
      <w:suppressLineNumbers w:val="1"/>
    </w:pPr>
    <w:rPr>
      <w:rFonts w:cs="Noto Sans Devanagari"/>
    </w:rPr>
  </w:style>
  <w:style w:type="paragraph" w:styleId="FR1" w:customStyle="1">
    <w:name w:val="FR1"/>
    <w:uiPriority w:val="99"/>
    <w:qFormat w:val="1"/>
    <w:rsid w:val="00C67B8B"/>
    <w:pPr>
      <w:widowControl w:val="0"/>
      <w:bidi w:val="0"/>
      <w:spacing w:after="0" w:before="320"/>
      <w:ind w:left="40"/>
      <w:jc w:val="left"/>
    </w:pPr>
    <w:rPr>
      <w:rFonts w:ascii="Times New Roman" w:cs="Times New Roman" w:eastAsia="Times New Roman" w:hAnsi="Times New Roman"/>
      <w:b w:val="1"/>
      <w:bCs w:val="1"/>
      <w:color w:val="auto"/>
      <w:kern w:val="0"/>
      <w:sz w:val="24"/>
      <w:szCs w:val="24"/>
      <w:lang w:bidi="ar-SA" w:eastAsia="en-US" w:val="bg-BG"/>
    </w:rPr>
  </w:style>
  <w:style w:type="paragraph" w:styleId="BodyTextIndent2">
    <w:name w:val="Body Text Indent 2"/>
    <w:basedOn w:val="Normal"/>
    <w:link w:val="BodyTextIndent2Char"/>
    <w:uiPriority w:val="99"/>
    <w:qFormat w:val="1"/>
    <w:rsid w:val="00CD2499"/>
    <w:pPr>
      <w:ind w:firstLine="624"/>
    </w:pPr>
    <w:rPr>
      <w:sz w:val="32"/>
      <w:szCs w:val="20"/>
      <w:lang w:val="bg-BG"/>
    </w:rPr>
  </w:style>
  <w:style w:type="paragraph" w:styleId="List3">
    <w:name w:val="List 3"/>
    <w:basedOn w:val="Normal"/>
    <w:uiPriority w:val="99"/>
    <w:qFormat w:val="1"/>
    <w:rsid w:val="00CD2499"/>
    <w:pPr>
      <w:ind w:left="1080" w:hanging="360"/>
    </w:pPr>
    <w:rPr>
      <w:sz w:val="20"/>
      <w:szCs w:val="20"/>
    </w:rPr>
  </w:style>
  <w:style w:type="paragraph" w:styleId="ListParagraph">
    <w:name w:val="List Paragraph"/>
    <w:basedOn w:val="Normal"/>
    <w:uiPriority w:val="99"/>
    <w:qFormat w:val="1"/>
    <w:rsid w:val="00103994"/>
    <w:pPr>
      <w:ind w:left="708"/>
    </w:pPr>
    <w:rPr>
      <w:sz w:val="20"/>
      <w:szCs w:val="20"/>
      <w:lang w:eastAsia="ja-JP"/>
    </w:rPr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LCWYkcWMqD8GTFAQt/UZWfzIJQ==">CgMxLjAaFAoBMBIPCg0IB0IJEgdHdW5nc3VoMg5oLm5rcnFrNnY5M2xjdDgAaiMKFHN1Z2dlc3Quczl2dHlmcHR2ZGcwEgtNIEJvZ29taWxvdmojChRzdWdnZXN0LmtvbGV2emN2eHFoMxILTSBCb2dvbWlsb3ZqIwoUc3VnZ2VzdC52dHphdHJiczd4Y2cSC00gQm9nb21pbG92aiMKFHN1Z2dlc3QuNzV6djlra3MzY3FpEgtNIEJvZ29taWxvdmojChRzdWdnZXN0LjRkb3YyZnU1cjRyZBILTSBCb2dvbWlsb3ZyITFwbnFnN3FNRjUzWk1XRy03ZmlqWGVkNzJTVTBNY0Ft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2019-05-27T12:20:00Z</dcterms:created>
  <dc:creator>litov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