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ind w:firstLine="4820"/>
        <w:jc w:val="both"/>
        <w:rPr>
          <w:rFonts w:ascii="Times New Roman" w:hAnsi="Times New Roman" w:cs="Times New Roman"/>
          <w:b/>
          <w:b/>
          <w:lang w:val="en-US"/>
        </w:rPr>
      </w:pPr>
      <w:r>
        <w:rPr>
          <w:rFonts w:cs="Times New Roman" w:ascii="Times New Roman" w:hAnsi="Times New Roman"/>
          <w:b/>
          <w:lang w:val="en-US"/>
        </w:rPr>
      </w:r>
    </w:p>
    <w:p>
      <w:pPr>
        <w:pStyle w:val="Title"/>
        <w:ind w:firstLine="4820"/>
        <w:jc w:val="both"/>
        <w:rPr>
          <w:rFonts w:ascii="Times New Roman" w:hAnsi="Times New Roman" w:cs="Times New Roman"/>
          <w:b/>
          <w:b/>
        </w:rPr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-3810</wp:posOffset>
            </wp:positionH>
            <wp:positionV relativeFrom="paragraph">
              <wp:posOffset>-432435</wp:posOffset>
            </wp:positionV>
            <wp:extent cx="816610" cy="1133475"/>
            <wp:effectExtent l="0" t="0" r="0" b="0"/>
            <wp:wrapNone/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posOffset>-3810</wp:posOffset>
            </wp:positionH>
            <wp:positionV relativeFrom="paragraph">
              <wp:posOffset>-432435</wp:posOffset>
            </wp:positionV>
            <wp:extent cx="816610" cy="1133475"/>
            <wp:effectExtent l="0" t="0" r="0" b="0"/>
            <wp:wrapNone/>
            <wp:docPr id="2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</w:rPr>
        <w:t>Approved: …………………..</w:t>
      </w:r>
    </w:p>
    <w:p>
      <w:pPr>
        <w:pStyle w:val="Title"/>
        <w:ind w:firstLine="4820"/>
        <w:jc w:val="both"/>
        <w:rPr>
          <w:rFonts w:ascii="Times New Roman" w:hAnsi="Times New Roman" w:cs="Times New Roman"/>
          <w:b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lang w:val="ru-RU"/>
        </w:rPr>
        <w:tab/>
        <w:tab/>
        <w:tab/>
      </w:r>
    </w:p>
    <w:p>
      <w:pPr>
        <w:pStyle w:val="Title"/>
        <w:ind w:firstLine="4820"/>
        <w:jc w:val="both"/>
        <w:rPr>
          <w:rFonts w:ascii="Times New Roman" w:hAnsi="Times New Roman" w:cs="Times New Roman"/>
          <w:b/>
          <w:b/>
          <w:bCs/>
          <w:lang w:val="ru-RU"/>
        </w:rPr>
      </w:pPr>
      <w:r>
        <w:rPr>
          <w:rFonts w:cs="Times New Roman" w:ascii="Times New Roman" w:hAnsi="Times New Roman"/>
          <w:b/>
          <w:bCs/>
          <w:lang w:val="ru-RU"/>
        </w:rPr>
        <w:tab/>
        <w:tab/>
        <w:tab/>
        <w:t>Dean</w:t>
      </w:r>
    </w:p>
    <w:p>
      <w:pPr>
        <w:pStyle w:val="Title"/>
        <w:ind w:firstLine="4820"/>
        <w:jc w:val="both"/>
        <w:rPr>
          <w:rFonts w:ascii="Times New Roman" w:hAnsi="Times New Roman" w:cs="Times New Roman"/>
          <w:b/>
          <w:b/>
          <w:bCs/>
          <w:lang w:val="ru-RU"/>
        </w:rPr>
      </w:pPr>
      <w:r>
        <w:rPr>
          <w:b/>
          <w:bCs/>
          <w:lang w:val="ru-RU"/>
        </w:rPr>
        <w:t>Date</w:t>
      </w:r>
      <w:r>
        <w:rPr>
          <w:bCs/>
          <w:lang w:val="ru-RU"/>
        </w:rPr>
        <w:t xml:space="preserve"> .............................</w:t>
      </w:r>
    </w:p>
    <w:p>
      <w:pPr>
        <w:pStyle w:val="Title"/>
        <w:ind w:firstLine="4820"/>
        <w:jc w:val="both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</w:r>
    </w:p>
    <w:p>
      <w:pPr>
        <w:pStyle w:val="Head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Title"/>
        <w:spacing w:lineRule="auto" w:line="360" w:before="360" w:after="0"/>
        <w:rPr>
          <w:rFonts w:ascii="Times New Roman" w:hAnsi="Times New Roman" w:cs="Times New Roman"/>
          <w:b/>
          <w:b/>
          <w:bCs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</w:r>
    </w:p>
    <w:p>
      <w:pPr>
        <w:pStyle w:val="Heading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  <w:t>SOFIA UNIVERSITY “ST. KLIMENT OHRIDSKI”</w:t>
      </w:r>
    </w:p>
    <w:p>
      <w:pPr>
        <w:pStyle w:val="Heading1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Subject area: </w:t>
      </w:r>
      <w:r>
        <w:rPr>
          <w:rFonts w:cs="Times New Roman" w:ascii="Times New Roman" w:hAnsi="Times New Roman"/>
          <w:i/>
          <w:sz w:val="24"/>
          <w:szCs w:val="24"/>
        </w:rPr>
        <w:t>(code and name)</w:t>
      </w:r>
    </w:p>
    <w:tbl>
      <w:tblPr>
        <w:tblW w:w="4823" w:type="dxa"/>
        <w:jc w:val="left"/>
        <w:tblInd w:w="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49"/>
        <w:gridCol w:w="405"/>
        <w:gridCol w:w="576"/>
        <w:gridCol w:w="566"/>
        <w:gridCol w:w="565"/>
        <w:gridCol w:w="566"/>
        <w:gridCol w:w="565"/>
        <w:gridCol w:w="566"/>
        <w:gridCol w:w="564"/>
      </w:tblGrid>
      <w:tr>
        <w:trPr/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2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2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З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2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2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2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2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2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2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</w:t>
            </w:r>
          </w:p>
        </w:tc>
      </w:tr>
    </w:tbl>
    <w:p>
      <w:pPr>
        <w:pStyle w:val="Normal"/>
        <w:rPr>
          <w:lang w:val="bg-BG"/>
        </w:rPr>
      </w:pPr>
      <w:r>
        <w:rPr>
          <w:lang w:val="bg-BG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Nuclear technics and nuclear Energy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1"/>
        <w:spacing w:lineRule="auto" w:line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Heading1"/>
        <w:spacing w:lineRule="auto" w:line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SYLLABUS</w:t>
      </w:r>
    </w:p>
    <w:tbl>
      <w:tblPr>
        <w:tblpPr w:vertAnchor="text" w:horzAnchor="page" w:leftFromText="141" w:rightFromText="141" w:tblpX="3574" w:tblpY="31"/>
        <w:tblW w:w="166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391"/>
        <w:gridCol w:w="425"/>
        <w:gridCol w:w="425"/>
        <w:gridCol w:w="426"/>
      </w:tblGrid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spacing w:lineRule="auto" w:line="36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en-US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spacing w:lineRule="auto" w:line="36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en-US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spacing w:lineRule="auto" w:line="36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en-US"/>
              </w:rPr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spacing w:lineRule="auto" w:line="36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lang w:val="en-US"/>
              </w:rPr>
            </w:r>
          </w:p>
        </w:tc>
      </w:tr>
    </w:tbl>
    <w:p>
      <w:pPr>
        <w:pStyle w:val="Heading3"/>
        <w:spacing w:lineRule="auto" w:line="360"/>
        <w:ind w:left="4230" w:hanging="4230"/>
        <w:jc w:val="left"/>
        <w:rPr>
          <w:rFonts w:ascii="Times New Roman" w:hAnsi="Times New Roman" w:cs="Times New Roman"/>
          <w:b w:val="false"/>
          <w:b w:val="false"/>
          <w:iCs/>
          <w:sz w:val="22"/>
          <w:szCs w:val="22"/>
          <w:lang w:val="en-US"/>
        </w:rPr>
      </w:pPr>
      <w:r/>
      <w:r>
        <w:rPr>
          <w:rFonts w:cs="Times New Roman" w:ascii="Times New Roman" w:hAnsi="Times New Roman"/>
          <w:b w:val="false"/>
          <w:bCs w:val="false"/>
          <w:lang w:val="en-US"/>
        </w:rPr>
        <w:t>Course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 xml:space="preserve">: </w:t>
        <w:tab/>
      </w:r>
    </w:p>
    <w:p>
      <w:pPr>
        <w:pStyle w:val="Heading3"/>
        <w:spacing w:lineRule="auto" w:line="360"/>
        <w:ind w:left="4230" w:hanging="4230"/>
        <w:jc w:val="center"/>
        <w:rPr>
          <w:rFonts w:ascii="Times New Roman" w:hAnsi="Times New Roman" w:cs="Times New Roman"/>
          <w:b w:val="false"/>
          <w:b w:val="false"/>
          <w:iCs/>
          <w:sz w:val="22"/>
          <w:szCs w:val="22"/>
          <w:lang w:val="en-US"/>
        </w:rPr>
      </w:pPr>
      <w:r>
        <w:rPr>
          <w:rFonts w:cs="Times New Roman" w:ascii="Times New Roman" w:hAnsi="Times New Roman"/>
          <w:b w:val="false"/>
          <w:iCs/>
          <w:sz w:val="22"/>
          <w:szCs w:val="22"/>
          <w:lang w:val="en-US"/>
        </w:rPr>
      </w:r>
    </w:p>
    <w:p>
      <w:pPr>
        <w:pStyle w:val="Heading3"/>
        <w:spacing w:lineRule="auto" w:line="360"/>
        <w:ind w:left="4230" w:hanging="4230"/>
        <w:jc w:val="center"/>
        <w:rPr>
          <w:sz w:val="22"/>
          <w:szCs w:val="22"/>
        </w:rPr>
      </w:pPr>
      <w:r>
        <w:rPr>
          <w:rFonts w:cs="Times New Roman" w:ascii="Times New Roman" w:hAnsi="Times New Roman"/>
          <w:b w:val="false"/>
          <w:iCs/>
          <w:sz w:val="22"/>
          <w:szCs w:val="22"/>
          <w:lang w:val="en-US"/>
        </w:rPr>
        <w:t>ADVANCED REACTOR CORE THERMAL-HYDRAULICS AND FUEL MODELING</w:t>
      </w:r>
    </w:p>
    <w:p>
      <w:pPr>
        <w:pStyle w:val="Heading3"/>
        <w:spacing w:lineRule="auto" w:line="360"/>
        <w:jc w:val="lef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  <w:lang w:val="en-US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</w:r>
    </w:p>
    <w:p>
      <w:pPr>
        <w:pStyle w:val="Heading3"/>
        <w:spacing w:lineRule="auto" w:line="24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Lecturer: Prof. Kostadin Ivanov 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and </w:t>
      </w:r>
      <w:r>
        <w:rPr>
          <w:rFonts w:ascii="Times New Roman" w:hAnsi="Times New Roman"/>
          <w:b/>
          <w:bCs/>
          <w:sz w:val="24"/>
          <w:szCs w:val="24"/>
        </w:rPr>
        <w:t>Prof. Maria Avramova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Assistant</w:t>
      </w:r>
      <w:r>
        <w:rPr>
          <w:rFonts w:cs="Times New Roman" w:ascii="Times New Roman" w:hAnsi="Times New Roman"/>
          <w:sz w:val="24"/>
          <w:szCs w:val="24"/>
        </w:rPr>
        <w:t>: N/A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0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093"/>
        <w:gridCol w:w="5526"/>
        <w:gridCol w:w="1420"/>
      </w:tblGrid>
      <w:tr>
        <w:trPr/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Academic work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Type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Number of classes</w:t>
            </w:r>
          </w:p>
        </w:tc>
      </w:tr>
      <w:tr>
        <w:trPr/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In-class work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Lectures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</w:t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Seminars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Practical classes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7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Total in-class work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30</w:t>
            </w:r>
          </w:p>
        </w:tc>
      </w:tr>
      <w:tr>
        <w:trPr/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Out-of-class work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Self-preparation for tutorials, seminars, practical classes/project.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</w:t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Preparation of reports from the practical classes.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Consultations, discussions, and assessment of reports from the practical classes.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Preparation of homework assignments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</w:t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Self-preparation for exams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</w:t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Self-guided library/database work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7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Total out-of-class work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150</w:t>
            </w:r>
          </w:p>
        </w:tc>
      </w:tr>
      <w:tr>
        <w:trPr/>
        <w:tc>
          <w:tcPr>
            <w:tcW w:w="7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Total of academic work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180</w:t>
            </w:r>
          </w:p>
        </w:tc>
      </w:tr>
      <w:tr>
        <w:trPr/>
        <w:tc>
          <w:tcPr>
            <w:tcW w:w="7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ECTS  credits in-class work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2.0</w:t>
            </w:r>
          </w:p>
        </w:tc>
      </w:tr>
      <w:tr>
        <w:trPr/>
        <w:tc>
          <w:tcPr>
            <w:tcW w:w="7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ECTS  credits out-of-class work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4.0</w:t>
            </w:r>
          </w:p>
        </w:tc>
      </w:tr>
      <w:tr>
        <w:trPr/>
        <w:tc>
          <w:tcPr>
            <w:tcW w:w="7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Total ECTS  credits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6.0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88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32"/>
        <w:gridCol w:w="5483"/>
        <w:gridCol w:w="2813"/>
      </w:tblGrid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№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Grading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% of the grade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84" w:leader="none"/>
              </w:tabs>
              <w:spacing w:before="40" w:after="0"/>
              <w:ind w:left="284" w:hanging="284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6"/>
              <w:widowControl w:val="false"/>
              <w:spacing w:before="4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Homeworks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84" w:leader="none"/>
              </w:tabs>
              <w:spacing w:before="40" w:after="0"/>
              <w:ind w:left="284" w:hanging="284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6"/>
              <w:widowControl w:val="false"/>
              <w:spacing w:before="4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Quizzes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84" w:leader="none"/>
              </w:tabs>
              <w:spacing w:before="40" w:after="0"/>
              <w:ind w:left="284" w:hanging="284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6"/>
              <w:widowControl w:val="false"/>
              <w:spacing w:before="4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Exam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84" w:leader="none"/>
              </w:tabs>
              <w:spacing w:before="40" w:after="0"/>
              <w:ind w:left="284" w:hanging="284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6"/>
              <w:widowControl w:val="false"/>
              <w:spacing w:before="4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Project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</w:t>
            </w:r>
          </w:p>
        </w:tc>
      </w:tr>
      <w:tr>
        <w:trPr/>
        <w:tc>
          <w:tcPr>
            <w:tcW w:w="8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pacing w:before="4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Outline of the course</w:t>
            </w:r>
          </w:p>
        </w:tc>
      </w:tr>
      <w:tr>
        <w:trPr/>
        <w:tc>
          <w:tcPr>
            <w:tcW w:w="8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The course focuses on advanced thermal-hydraulic design calculations for nuclear reactors. The course will derive and discuss the governing equations that form the basis of three-dimensional thermal-hydraulic analysis methods commonly used in the nuclear industry, and present the specific closure models used.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88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828"/>
      </w:tblGrid>
      <w:tr>
        <w:trPr/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Heading6"/>
              <w:widowControl w:val="false"/>
              <w:spacing w:before="40" w:after="0"/>
              <w:rPr>
                <w:rFonts w:ascii="Times New Roman" w:hAnsi="Times New Roman" w:cs="Times New Roman"/>
                <w:b/>
                <w:b/>
                <w:lang w:val="en-US"/>
              </w:rPr>
            </w:pPr>
            <w:r>
              <w:rPr>
                <w:rFonts w:cs="Times New Roman" w:ascii="Times New Roman" w:hAnsi="Times New Roman"/>
                <w:b/>
                <w:lang w:val="en-US"/>
              </w:rPr>
              <w:t>Preliminary requirements</w:t>
            </w:r>
          </w:p>
        </w:tc>
      </w:tr>
      <w:tr>
        <w:trPr/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Basic knowledge of fluid dynamics and heat transfer.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88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828"/>
      </w:tblGrid>
      <w:tr>
        <w:trPr/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pacing w:before="4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Expected outcomes</w:t>
            </w:r>
          </w:p>
        </w:tc>
      </w:tr>
      <w:tr>
        <w:trPr/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After completion of the course, students should be able to understand the concepts and principles of thermal-hydraulic and heat-transfer analysis of nuclear reactor cores.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4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Provide students with sufficient knowledge of the application of conservation equations and closure relationships for single- and two-phase flow.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After completion of the course, students should be able to apply modeling of the reactor cores using three-dimensional and sub-channel analysis methods.</w:t>
            </w:r>
          </w:p>
        </w:tc>
      </w:tr>
    </w:tbl>
    <w:p>
      <w:pPr>
        <w:pStyle w:val="Heading4"/>
        <w:spacing w:lineRule="auto" w:line="240"/>
        <w:rPr>
          <w:rFonts w:ascii="Times New Roman" w:hAnsi="Times New Roman" w:cs="Times New Roman"/>
          <w:i/>
          <w:i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en-US"/>
        </w:rPr>
      </w:r>
    </w:p>
    <w:p>
      <w:pPr>
        <w:pStyle w:val="Heading4"/>
        <w:spacing w:lineRule="auto" w:line="240"/>
        <w:rPr>
          <w:rFonts w:ascii="Times New Roman" w:hAnsi="Times New Roman" w:cs="Times New Roman"/>
          <w:i/>
          <w:i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en-US"/>
        </w:rPr>
        <w:t>Syllabus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Lectures and Seminars</w:t>
      </w:r>
    </w:p>
    <w:tbl>
      <w:tblPr>
        <w:tblW w:w="8831" w:type="dxa"/>
        <w:jc w:val="left"/>
        <w:tblInd w:w="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09"/>
        <w:gridCol w:w="6991"/>
        <w:gridCol w:w="1231"/>
      </w:tblGrid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Number of classes</w:t>
            </w:r>
          </w:p>
        </w:tc>
      </w:tr>
      <w:tr>
        <w:trPr>
          <w:trHeight w:val="346" w:hRule="atLeast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Introduction: 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Nuclear Power Reactors – Background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Heat Generation, Transfer and Removal in Reactor Cores – Review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Single-Phase Flow in Rod Bundles: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Approach to Simplified Flow Analysis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Single-Phase Pressure Drop 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Single-Phase Heat Transfer 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Two-Phase Flow in Rod Bundles: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Two-Phase Flow Models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Two-Phase Pressure Drop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Boiling Heat Transfer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Thermal Analysis of Fuel Elements: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Heat Conduction in Fuel Elements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Thermal Resistance between the Fuel and Coolant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Thermal Design Principles and Application: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Thermal Design Limits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Thermal Design Margins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Generalized Formulation of the Reactor Thermal-Hydraulic Design Problem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Modeling of Interacting Channels: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Porous Media Approach for Interacting Channels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Sub-channel Approach for Interacting Channels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Sub-channel Thermal-Hydraulic Codes: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Problem Formulation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Input / Output Description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Computational Models for Singe- and Two-Phase Flow: 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Conservation of Mass, Momentum, and Energy</w:t>
              <w:tab/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Flow Regime Maps 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Momentum, Heat, and Mass Transfer Modeling 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Cross-Flow in Rod Bundles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Interfacial Heat and Mass Transfer Modeling 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Wall Heat Transfer Modeling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Spacer Grid Effects in Rod Bundles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Models for Heated and Unheated Structures: 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Heat Generation and Conduction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Fuel Rod Modeling: Gap Conductance; Pellet-Cladding Contact Conductance; Fuel Rod Deformation; etc.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>
        <w:trPr/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Additional Topics of Interest: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Numerical Solution Methods in Thermal-Hydraulic Codes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Accuracy and Uncertainty Analysis in Modeling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Boron Tracking Models in Thermal-Hydraulic Codes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Thermal-Hydraulics to Core Neutron Kinetics Coupling and Treatment of the Feedback Effects</w:t>
            </w:r>
          </w:p>
          <w:p>
            <w:pPr>
              <w:pStyle w:val="TextBodyIndent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________________________________________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</w:tbl>
    <w:p>
      <w:pPr>
        <w:pStyle w:val="TextBody"/>
        <w:spacing w:before="360" w:after="0"/>
        <w:rPr>
          <w:rFonts w:ascii="Times New Roman" w:hAnsi="Times New Roman" w:cs="Times New Roman"/>
          <w:b/>
          <w:b/>
          <w:bCs/>
          <w:i/>
          <w:i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val="en-US"/>
        </w:rPr>
      </w:r>
    </w:p>
    <w:p>
      <w:pPr>
        <w:pStyle w:val="TextBody"/>
        <w:spacing w:before="360" w:after="0"/>
        <w:rPr>
          <w:rFonts w:ascii="Times New Roman" w:hAnsi="Times New Roman" w:cs="Times New Roman"/>
          <w:b/>
          <w:b/>
          <w:bCs/>
          <w:i/>
          <w:i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val="en-US"/>
        </w:rPr>
      </w:r>
    </w:p>
    <w:tbl>
      <w:tblPr>
        <w:tblW w:w="8746" w:type="dxa"/>
        <w:jc w:val="left"/>
        <w:tblInd w:w="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07"/>
        <w:gridCol w:w="8138"/>
      </w:tblGrid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Topics </w:t>
            </w:r>
          </w:p>
        </w:tc>
      </w:tr>
      <w:tr>
        <w:trPr>
          <w:trHeight w:val="346" w:hRule="atLeast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Single-Phase Flow in Rod Bundles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cs="Calibri Light" w:ascii="Times New Roman" w:hAnsi="Times New Roman"/>
                <w:b w:val="false"/>
                <w:bCs w:val="false"/>
                <w:iCs/>
                <w:sz w:val="22"/>
                <w:szCs w:val="22"/>
              </w:rPr>
              <w:t>Two-Phase Flow in Rod Bundles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cs="Calibri Light" w:ascii="Times New Roman" w:hAnsi="Times New Roman"/>
                <w:b w:val="false"/>
                <w:bCs w:val="false"/>
                <w:iCs/>
                <w:sz w:val="22"/>
                <w:szCs w:val="22"/>
              </w:rPr>
              <w:t>Thermal Analysis of Fuel Elements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cs="Calibri Light" w:ascii="Times New Roman" w:hAnsi="Times New Roman"/>
                <w:b w:val="false"/>
                <w:bCs w:val="false"/>
                <w:iCs/>
                <w:sz w:val="22"/>
                <w:szCs w:val="22"/>
              </w:rPr>
              <w:t>Thermal Design Principles and Application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cs="Calibri Light" w:ascii="Times New Roman" w:hAnsi="Times New Roman"/>
                <w:b w:val="false"/>
                <w:bCs w:val="false"/>
                <w:iCs/>
                <w:sz w:val="22"/>
                <w:szCs w:val="22"/>
              </w:rPr>
              <w:t>Modeling of Interacting Channels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cs="Calibri Light" w:ascii="Times New Roman" w:hAnsi="Times New Roman"/>
                <w:b w:val="false"/>
                <w:bCs w:val="false"/>
                <w:iCs/>
                <w:sz w:val="22"/>
                <w:szCs w:val="22"/>
              </w:rPr>
              <w:t>Sub-channel Thermal-Hydraulic Codes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Indent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cs="Calibri Light" w:ascii="Times New Roman" w:hAnsi="Times New Roman"/>
                <w:b w:val="false"/>
                <w:bCs w:val="false"/>
                <w:iCs/>
                <w:sz w:val="22"/>
                <w:szCs w:val="22"/>
              </w:rPr>
              <w:t xml:space="preserve">Computational Models for Singe- and Two-Phase Flow 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 w:val="false"/>
                <w:bCs w:val="false"/>
              </w:rPr>
            </w:pPr>
            <w:r>
              <w:rPr>
                <w:rFonts w:cs="Calibri Light" w:ascii="Times New Roman" w:hAnsi="Times New Roman"/>
                <w:b w:val="false"/>
                <w:bCs w:val="false"/>
                <w:iCs/>
                <w:sz w:val="22"/>
                <w:szCs w:val="22"/>
              </w:rPr>
              <w:t xml:space="preserve">Models for Heated and Unheated Structures </w:t>
            </w:r>
          </w:p>
        </w:tc>
      </w:tr>
      <w:tr>
        <w:trPr/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cs="Calibri Light" w:ascii="Times New Roman" w:hAnsi="Times New Roman"/>
                <w:iCs/>
                <w:sz w:val="22"/>
                <w:szCs w:val="22"/>
              </w:rPr>
              <w:t>Thermal-Hydraulics to Core Neutron Kinetics Coupling and Treatment of the Feedback Effects</w:t>
            </w:r>
          </w:p>
        </w:tc>
      </w:tr>
    </w:tbl>
    <w:p>
      <w:pPr>
        <w:pStyle w:val="TextBody"/>
        <w:spacing w:before="360" w:after="0"/>
        <w:rPr>
          <w:rFonts w:ascii="Times New Roman" w:hAnsi="Times New Roman" w:cs="Times New Roman"/>
          <w:b/>
          <w:b/>
          <w:bCs/>
          <w:i/>
          <w:i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val="en-US"/>
        </w:rPr>
        <w:t>Bibliography</w:t>
      </w:r>
    </w:p>
    <w:p>
      <w:pPr>
        <w:pStyle w:val="Normal"/>
        <w:widowControl w:val="false"/>
        <w:spacing w:lineRule="auto" w:line="300" w:before="20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Basic: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 </w:t>
        <w:br/>
      </w:r>
      <w:r>
        <w:rPr>
          <w:rFonts w:cs="Times New Roman" w:ascii="Times New Roman" w:hAnsi="Times New Roman"/>
          <w:sz w:val="22"/>
          <w:szCs w:val="22"/>
        </w:rPr>
        <w:t>No required textbook. Class notes and reading material will be provided free of charge.</w:t>
      </w:r>
    </w:p>
    <w:p>
      <w:pPr>
        <w:pStyle w:val="Normal"/>
        <w:widowControl w:val="false"/>
        <w:spacing w:lineRule="auto" w:line="300" w:before="20" w:after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Additional: </w:t>
      </w:r>
    </w:p>
    <w:p>
      <w:pPr>
        <w:pStyle w:val="ListParagraph"/>
        <w:widowControl w:val="false"/>
        <w:numPr>
          <w:ilvl w:val="0"/>
          <w:numId w:val="3"/>
        </w:numPr>
        <w:spacing w:lineRule="auto" w:line="300" w:before="20" w:after="0"/>
        <w:contextualSpacing/>
        <w:rPr>
          <w:rFonts w:ascii="Times New Roman" w:hAnsi="Times New Roman" w:cs="Times New Roman"/>
          <w:bCs/>
          <w:iCs/>
          <w:sz w:val="22"/>
          <w:szCs w:val="22"/>
        </w:rPr>
      </w:pPr>
      <w:r>
        <w:rPr>
          <w:rFonts w:cs="Times New Roman" w:ascii="Times New Roman" w:hAnsi="Times New Roman"/>
          <w:bCs/>
          <w:iCs/>
          <w:sz w:val="22"/>
          <w:szCs w:val="22"/>
        </w:rPr>
        <w:t>N. Todreas and M. Kazimi, Nuclear Systems I: Thermal Hydraulic Fundamentals (Selected Sections), Published in 1990 by Taylor &amp; Francis Group.</w:t>
      </w:r>
    </w:p>
    <w:p>
      <w:pPr>
        <w:pStyle w:val="ListParagraph"/>
        <w:widowControl w:val="false"/>
        <w:numPr>
          <w:ilvl w:val="0"/>
          <w:numId w:val="3"/>
        </w:numPr>
        <w:spacing w:lineRule="auto" w:line="300" w:before="20" w:after="0"/>
        <w:contextualSpacing/>
        <w:rPr>
          <w:rFonts w:ascii="Times New Roman" w:hAnsi="Times New Roman" w:cs="Times New Roman"/>
          <w:bCs/>
          <w:iCs/>
          <w:sz w:val="22"/>
          <w:szCs w:val="22"/>
        </w:rPr>
      </w:pPr>
      <w:r>
        <w:rPr>
          <w:rFonts w:cs="Times New Roman" w:ascii="Times New Roman" w:hAnsi="Times New Roman"/>
          <w:bCs/>
          <w:iCs/>
          <w:sz w:val="22"/>
          <w:szCs w:val="22"/>
        </w:rPr>
        <w:t>N. Todreas and M. Kazimi, Nuclear Systems II: Elements of Thermal Hydraulic Design (Selected Sections), Published in 2001 by Taylor &amp; Francis Group.</w:t>
      </w:r>
    </w:p>
    <w:p>
      <w:pPr>
        <w:pStyle w:val="ListParagraph"/>
        <w:widowControl w:val="false"/>
        <w:numPr>
          <w:ilvl w:val="0"/>
          <w:numId w:val="3"/>
        </w:numPr>
        <w:spacing w:lineRule="auto" w:line="300" w:before="20" w:after="0"/>
        <w:contextualSpacing/>
        <w:rPr>
          <w:rFonts w:ascii="Times New Roman" w:hAnsi="Times New Roman" w:cs="Times New Roman"/>
          <w:bCs/>
          <w:iCs/>
          <w:sz w:val="22"/>
          <w:szCs w:val="22"/>
        </w:rPr>
      </w:pPr>
      <w:r>
        <w:rPr>
          <w:rFonts w:cs="Times New Roman" w:ascii="Times New Roman" w:hAnsi="Times New Roman"/>
          <w:bCs/>
          <w:iCs/>
          <w:sz w:val="22"/>
          <w:szCs w:val="22"/>
        </w:rPr>
        <w:t xml:space="preserve">C. Takasugi, et al., “Development of an efficient and improved core thermal-hydraulics predictive capability for fast reactors: Summary of research and development activities at the North Carolina State University”, Nuclear Engineering and Design, Volume 412, October 2023, 112474 </w:t>
      </w:r>
      <w:hyperlink r:id="rId4">
        <w:r>
          <w:rPr>
            <w:rStyle w:val="InternetLink"/>
            <w:rFonts w:cs="Times New Roman" w:ascii="Times New Roman" w:hAnsi="Times New Roman"/>
            <w:bCs/>
            <w:iCs/>
            <w:sz w:val="22"/>
            <w:szCs w:val="22"/>
          </w:rPr>
          <w:t>https://doi.org/10.1016/j.nucengdes.2023.112474</w:t>
        </w:r>
      </w:hyperlink>
    </w:p>
    <w:p>
      <w:pPr>
        <w:pStyle w:val="ListParagraph"/>
        <w:widowControl w:val="false"/>
        <w:numPr>
          <w:ilvl w:val="0"/>
          <w:numId w:val="3"/>
        </w:numPr>
        <w:spacing w:lineRule="auto" w:line="300" w:before="20" w:after="0"/>
        <w:contextualSpacing/>
        <w:rPr>
          <w:rFonts w:ascii="Times New Roman" w:hAnsi="Times New Roman" w:cs="Times New Roman"/>
          <w:bCs/>
          <w:iCs/>
          <w:sz w:val="22"/>
          <w:szCs w:val="22"/>
        </w:rPr>
      </w:pPr>
      <w:r>
        <w:rPr>
          <w:rFonts w:cs="Times New Roman" w:ascii="Times New Roman" w:hAnsi="Times New Roman"/>
          <w:bCs/>
          <w:iCs/>
          <w:sz w:val="22"/>
          <w:szCs w:val="22"/>
        </w:rPr>
        <w:t>R. Salko, M. Avramova, et al., "CTF: A modernized, production-level, thermal-hydraulic solver for the solution of industry-relevant challenge problems in pressurized water reactors" Nuclear Engineering and Design, October 2022, Volume 397, https://doi.org/10.1016/j.nucengdes.2022.111927 (2022)</w:t>
      </w:r>
    </w:p>
    <w:p>
      <w:pPr>
        <w:pStyle w:val="ListParagraph"/>
        <w:widowControl w:val="false"/>
        <w:numPr>
          <w:ilvl w:val="0"/>
          <w:numId w:val="3"/>
        </w:numPr>
        <w:spacing w:lineRule="auto" w:line="300" w:before="20" w:after="0"/>
        <w:contextualSpacing/>
        <w:rPr>
          <w:rFonts w:ascii="Times New Roman" w:hAnsi="Times New Roman" w:cs="Times New Roman"/>
          <w:bCs/>
          <w:iCs/>
          <w:sz w:val="22"/>
          <w:szCs w:val="22"/>
        </w:rPr>
      </w:pPr>
      <w:r>
        <w:rPr>
          <w:rFonts w:cs="Times New Roman" w:ascii="Times New Roman" w:hAnsi="Times New Roman"/>
          <w:bCs/>
          <w:iCs/>
          <w:sz w:val="22"/>
          <w:szCs w:val="22"/>
        </w:rPr>
        <w:t>N. Porter, et al., “CTF-R: A Novel Residual-Based Thermal- Hydraulic Solver”, Nuclear Engineering and Design, April 2019, Volume 348, Pages 37-45, https://doi.org/10.1016/j.nucengdes.2019.04.006 (2019)</w:t>
      </w:r>
    </w:p>
    <w:p>
      <w:pPr>
        <w:pStyle w:val="Normal"/>
        <w:widowControl w:val="false"/>
        <w:spacing w:lineRule="auto" w:line="300" w:before="20" w:after="0"/>
        <w:rPr>
          <w:rFonts w:ascii="Times New Roman" w:hAnsi="Times New Roman" w:cs="Times New Roman"/>
          <w:bCs/>
          <w:iCs/>
          <w:sz w:val="22"/>
          <w:szCs w:val="22"/>
        </w:rPr>
      </w:pPr>
      <w:r>
        <w:rPr>
          <w:rFonts w:cs="Times New Roman" w:ascii="Times New Roman" w:hAnsi="Times New Roman"/>
          <w:bCs/>
          <w:iCs/>
          <w:sz w:val="22"/>
          <w:szCs w:val="22"/>
        </w:rPr>
      </w:r>
    </w:p>
    <w:p>
      <w:pPr>
        <w:pStyle w:val="Normal"/>
        <w:tabs>
          <w:tab w:val="clear" w:pos="720"/>
          <w:tab w:val="left" w:pos="5103" w:leader="none"/>
        </w:tabs>
        <w:spacing w:lineRule="auto" w:line="36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Date    </w:t>
        <w:tab/>
        <w:t xml:space="preserve">Authors: </w:t>
      </w:r>
    </w:p>
    <w:p>
      <w:pPr>
        <w:pStyle w:val="Normal"/>
        <w:tabs>
          <w:tab w:val="clear" w:pos="720"/>
          <w:tab w:val="left" w:pos="5103" w:leader="none"/>
        </w:tabs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ab/>
        <w:tab/>
      </w:r>
      <w:r>
        <w:rPr>
          <w:rFonts w:cs="Times New Roman" w:ascii="Times New Roman" w:hAnsi="Times New Roman"/>
          <w:sz w:val="24"/>
          <w:szCs w:val="24"/>
        </w:rPr>
        <w:t>Prof. Dr. Maria Avramova</w:t>
      </w:r>
    </w:p>
    <w:p>
      <w:pPr>
        <w:pStyle w:val="Normal"/>
        <w:tabs>
          <w:tab w:val="clear" w:pos="720"/>
          <w:tab w:val="left" w:pos="5103" w:leader="none"/>
        </w:tabs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>Prof. Dr. Kostadin Ivanov</w:t>
      </w:r>
    </w:p>
    <w:p>
      <w:pPr>
        <w:pStyle w:val="Normal"/>
        <w:tabs>
          <w:tab w:val="clear" w:pos="720"/>
          <w:tab w:val="left" w:pos="5103" w:leader="none"/>
        </w:tabs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ab/>
      </w:r>
    </w:p>
    <w:sectPr>
      <w:footerReference w:type="even" r:id="rId5"/>
      <w:footerReference w:type="default" r:id="rId6"/>
      <w:type w:val="nextPage"/>
      <w:pgSz w:w="12240" w:h="15840"/>
      <w:pgMar w:left="1701" w:right="1701" w:gutter="0" w:header="0" w:top="1701" w:footer="709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MS Sans Serif">
    <w:charset w:val="01"/>
    <w:family w:val="roman"/>
    <w:pitch w:val="variable"/>
  </w:font>
  <w:font w:name="Arial">
    <w:charset w:val="01"/>
    <w:family w:val="roman"/>
    <w:pitch w:val="variable"/>
  </w:font>
  <w:font w:name="Book Antiqua">
    <w:charset w:val="01"/>
    <w:family w:val="roman"/>
    <w:pitch w:val="variable"/>
  </w:font>
  <w:font w:name="Tahom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 w:hanging="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fillcolor="white" stroked="f" o:allowincell="f" style="position:absolute;margin-left:0pt;margin-top:0.05pt;width:1.1pt;height:1.1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 w:hanging="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3025" cy="172085"/>
              <wp:effectExtent l="0" t="0" r="0" b="0"/>
              <wp:wrapSquare wrapText="bothSides"/>
              <wp:docPr id="5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80" cy="172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fillcolor="white" stroked="f" o:allowincell="f" style="position:absolute;margin-left:436.05pt;margin-top:0.05pt;width:5.7pt;height:13.5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30"/>
  <w:embedSystemFonts/>
  <w:defaultTabStop w:val="720"/>
  <w:autoHyphenation w:val="true"/>
  <w:doNotHyphenateCap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bg-BG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MS Sans Serif" w:hAnsi="MS Sans Serif" w:eastAsia="Times New Roman" w:cs="MS Sans Serif"/>
      <w:color w:val="auto"/>
      <w:kern w:val="0"/>
      <w:sz w:val="20"/>
      <w:szCs w:val="20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jc w:val="center"/>
      <w:outlineLvl w:val="0"/>
    </w:pPr>
    <w:rPr>
      <w:b/>
      <w:bCs/>
      <w:sz w:val="36"/>
      <w:szCs w:val="36"/>
      <w:lang w:val="bg-BG"/>
    </w:rPr>
  </w:style>
  <w:style w:type="paragraph" w:styleId="Heading2">
    <w:name w:val="Heading 2"/>
    <w:basedOn w:val="Normal"/>
    <w:next w:val="Normal"/>
    <w:qFormat/>
    <w:pPr>
      <w:keepNext w:val="true"/>
      <w:jc w:val="both"/>
      <w:outlineLvl w:val="1"/>
    </w:pPr>
    <w:rPr>
      <w:sz w:val="28"/>
      <w:szCs w:val="28"/>
      <w:lang w:val="bg-BG"/>
    </w:rPr>
  </w:style>
  <w:style w:type="paragraph" w:styleId="Heading3">
    <w:name w:val="Heading 3"/>
    <w:basedOn w:val="Normal"/>
    <w:next w:val="Normal"/>
    <w:qFormat/>
    <w:pPr>
      <w:keepNext w:val="true"/>
      <w:jc w:val="center"/>
      <w:outlineLvl w:val="2"/>
    </w:pPr>
    <w:rPr>
      <w:b/>
      <w:bCs/>
      <w:sz w:val="28"/>
      <w:szCs w:val="28"/>
      <w:lang w:val="bg-BG"/>
    </w:rPr>
  </w:style>
  <w:style w:type="paragraph" w:styleId="Heading4">
    <w:name w:val="Heading 4"/>
    <w:basedOn w:val="Normal"/>
    <w:next w:val="Normal"/>
    <w:qFormat/>
    <w:pPr>
      <w:keepNext w:val="true"/>
      <w:spacing w:lineRule="auto" w:line="360"/>
      <w:jc w:val="center"/>
      <w:outlineLvl w:val="3"/>
    </w:pPr>
    <w:rPr>
      <w:b/>
      <w:bCs/>
      <w:sz w:val="32"/>
      <w:szCs w:val="32"/>
      <w:lang w:val="bg-BG"/>
    </w:rPr>
  </w:style>
  <w:style w:type="paragraph" w:styleId="Heading5">
    <w:name w:val="Heading 5"/>
    <w:basedOn w:val="Normal"/>
    <w:next w:val="Normal"/>
    <w:qFormat/>
    <w:pPr>
      <w:keepNext w:val="true"/>
      <w:jc w:val="center"/>
      <w:outlineLvl w:val="4"/>
    </w:pPr>
    <w:rPr>
      <w:sz w:val="28"/>
      <w:szCs w:val="28"/>
      <w:lang w:val="bg-BG"/>
    </w:rPr>
  </w:style>
  <w:style w:type="paragraph" w:styleId="Heading6">
    <w:name w:val="Heading 6"/>
    <w:basedOn w:val="Normal"/>
    <w:next w:val="Normal"/>
    <w:qFormat/>
    <w:pPr>
      <w:keepNext w:val="true"/>
      <w:spacing w:before="40" w:after="0"/>
      <w:jc w:val="both"/>
      <w:outlineLvl w:val="5"/>
    </w:pPr>
    <w:rPr>
      <w:rFonts w:ascii="Arial" w:hAnsi="Arial" w:cs="Arial"/>
      <w:sz w:val="24"/>
      <w:szCs w:val="24"/>
      <w:lang w:val="bg-BG"/>
    </w:rPr>
  </w:style>
  <w:style w:type="paragraph" w:styleId="Heading7">
    <w:name w:val="Heading 7"/>
    <w:basedOn w:val="Normal"/>
    <w:next w:val="Normal"/>
    <w:qFormat/>
    <w:pPr>
      <w:keepNext w:val="true"/>
      <w:spacing w:before="40" w:after="0"/>
      <w:outlineLvl w:val="6"/>
    </w:pPr>
    <w:rPr>
      <w:rFonts w:ascii="Book Antiqua" w:hAnsi="Book Antiqua" w:cs="Book Antiqua"/>
      <w:sz w:val="24"/>
      <w:szCs w:val="24"/>
      <w:lang w:val="bg-BG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FootnoteCharacters">
    <w:name w:val="Footnote Characters"/>
    <w:semiHidden/>
    <w:qFormat/>
    <w:rsid w:val="009667b5"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BodyTextChar" w:customStyle="1">
    <w:name w:val="Body Text Char"/>
    <w:qFormat/>
    <w:rsid w:val="00ec5489"/>
    <w:rPr>
      <w:rFonts w:ascii="MS Sans Serif" w:hAnsi="MS Sans Serif" w:cs="MS Sans Serif"/>
      <w:sz w:val="28"/>
      <w:szCs w:val="28"/>
      <w:lang w:eastAsia="zh-CN"/>
    </w:rPr>
  </w:style>
  <w:style w:type="character" w:styleId="BodyTextIndentChar" w:customStyle="1">
    <w:name w:val="Body Text Indent Char"/>
    <w:qFormat/>
    <w:rsid w:val="00ec5489"/>
    <w:rPr>
      <w:rFonts w:ascii="MS Sans Serif" w:hAnsi="MS Sans Serif" w:cs="MS Sans Serif"/>
      <w:sz w:val="28"/>
      <w:szCs w:val="28"/>
      <w:lang w:eastAsia="zh-CN"/>
    </w:rPr>
  </w:style>
  <w:style w:type="character" w:styleId="InternetLink">
    <w:name w:val="Hyperlink"/>
    <w:basedOn w:val="DefaultParagraphFont"/>
    <w:uiPriority w:val="99"/>
    <w:unhideWhenUsed/>
    <w:rsid w:val="00f802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80230"/>
    <w:rPr>
      <w:color w:val="605E5C"/>
      <w:shd w:fill="E1DFDD" w:val="clear"/>
    </w:rPr>
  </w:style>
  <w:style w:type="paragraph" w:styleId="Heading" w:customStyle="1">
    <w:name w:val="Heading"/>
    <w:basedOn w:val="Normal"/>
    <w:next w:val="TextBody"/>
    <w:qFormat/>
    <w:rsid w:val="00b25558"/>
    <w:pPr>
      <w:suppressAutoHyphens w:val="true"/>
      <w:jc w:val="center"/>
    </w:pPr>
    <w:rPr>
      <w:sz w:val="28"/>
      <w:szCs w:val="28"/>
      <w:lang w:val="bg-BG"/>
    </w:rPr>
  </w:style>
  <w:style w:type="paragraph" w:styleId="TextBody">
    <w:name w:val="Body Text"/>
    <w:basedOn w:val="Normal"/>
    <w:link w:val="BodyTextChar"/>
    <w:pPr>
      <w:jc w:val="center"/>
    </w:pPr>
    <w:rPr>
      <w:sz w:val="28"/>
      <w:szCs w:val="28"/>
      <w:lang w:val="bg-BG"/>
    </w:rPr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TextBodyIndent">
    <w:name w:val="Body Text Indent"/>
    <w:basedOn w:val="Normal"/>
    <w:link w:val="BodyTextIndentChar"/>
    <w:pPr>
      <w:jc w:val="both"/>
    </w:pPr>
    <w:rPr>
      <w:sz w:val="28"/>
      <w:szCs w:val="28"/>
      <w:lang w:val="bg-BG"/>
    </w:rPr>
  </w:style>
  <w:style w:type="paragraph" w:styleId="BodyText3">
    <w:name w:val="Body Text 3"/>
    <w:basedOn w:val="Normal"/>
    <w:qFormat/>
    <w:pPr/>
    <w:rPr>
      <w:sz w:val="28"/>
      <w:szCs w:val="28"/>
      <w:lang w:val="bg-BG"/>
    </w:rPr>
  </w:style>
  <w:style w:type="paragraph" w:styleId="Title">
    <w:name w:val="Title"/>
    <w:basedOn w:val="Normal"/>
    <w:qFormat/>
    <w:pPr>
      <w:jc w:val="center"/>
    </w:pPr>
    <w:rPr>
      <w:sz w:val="28"/>
      <w:szCs w:val="28"/>
      <w:lang w:val="bg-BG"/>
    </w:rPr>
  </w:style>
  <w:style w:type="paragraph" w:styleId="Footer">
    <w:name w:val="Foot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Tabl" w:customStyle="1">
    <w:name w:val="Tabl"/>
    <w:basedOn w:val="Normal"/>
    <w:qFormat/>
    <w:pPr/>
    <w:rPr>
      <w:rFonts w:ascii="Book Antiqua" w:hAnsi="Book Antiqua" w:cs="Book Antiqua"/>
      <w:sz w:val="22"/>
      <w:szCs w:val="22"/>
      <w:lang w:val="bg-BG" w:eastAsia="en-US"/>
    </w:rPr>
  </w:style>
  <w:style w:type="paragraph" w:styleId="BalloonText">
    <w:name w:val="Balloon Text"/>
    <w:basedOn w:val="Normal"/>
    <w:semiHidden/>
    <w:qFormat/>
    <w:rsid w:val="00d85182"/>
    <w:pPr/>
    <w:rPr>
      <w:rFonts w:ascii="Tahoma" w:hAnsi="Tahoma" w:cs="Tahoma"/>
      <w:sz w:val="16"/>
      <w:szCs w:val="16"/>
    </w:rPr>
  </w:style>
  <w:style w:type="paragraph" w:styleId="Footnote">
    <w:name w:val="Footnote Text"/>
    <w:basedOn w:val="Normal"/>
    <w:semiHidden/>
    <w:rsid w:val="009667b5"/>
    <w:pPr/>
    <w:rPr/>
  </w:style>
  <w:style w:type="paragraph" w:styleId="ListParagraph">
    <w:name w:val="List Paragraph"/>
    <w:basedOn w:val="Normal"/>
    <w:uiPriority w:val="34"/>
    <w:qFormat/>
    <w:rsid w:val="003e6347"/>
    <w:pPr>
      <w:spacing w:before="0" w:after="0"/>
      <w:ind w:left="720" w:hanging="0"/>
      <w:contextualSpacing/>
    </w:pPr>
    <w:rPr/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6e37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https://doi.org/10.1016/j.nucengdes.2023.112474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Application>LibreOffice/7.4.7.2$Linux_X86_64 LibreOffice_project/40$Build-2</Application>
  <AppVersion>15.0000</AppVersion>
  <Pages>4</Pages>
  <Words>738</Words>
  <Characters>4617</Characters>
  <CharactersWithSpaces>5215</CharactersWithSpaces>
  <Paragraphs>174</Paragraphs>
  <Company>SU_FNPP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2026-09-01T08:16:00Z</dcterms:created>
  <dc:creator>BARAKOV</dc:creator>
  <dc:description/>
  <dc:language>en-US</dc:language>
  <cp:lastModifiedBy/>
  <cp:lastPrinted>2024-02-29T18:31:00Z</cp:lastPrinted>
  <dcterms:modified xsi:type="dcterms:W3CDTF">2026-09-12T23:41:00Z</dcterms:modified>
  <cp:revision>65</cp:revision>
  <dc:subject/>
  <dc:title>Проф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f9278b35-ba15-4d1f-b6c6-612be51448aa</vt:lpwstr>
  </property>
</Properties>
</file>